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9e0e83b61046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2441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Corry, Slatter, Stokesbary, Leavitt, and Jacobsen)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eliminating college in the high school fees for private not-for-profit four-year institutions; adding new sections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student achievement council shall select a private, not-for-profit four-year institution as defined in RCW 28B.07.020(4) with a main campus located in Yakima county and who serves rural or underserved communities to participate in a pilot program to offer college in the high school courses at no cost to the students enrolling in the courses.</w:t>
      </w:r>
    </w:p>
    <w:p>
      <w:pPr>
        <w:spacing w:before="0" w:after="0" w:line="408" w:lineRule="exact"/>
        <w:ind w:left="0" w:right="0" w:firstLine="576"/>
        <w:jc w:val="left"/>
      </w:pPr>
      <w:r>
        <w:rPr/>
        <w:t xml:space="preserve">(2) The student achievement council shall distribute funds to the pilot institution at a rate of $300 per student, up to a maximum of $6,000 per college in the high school course administered by the pilot institution.</w:t>
      </w:r>
    </w:p>
    <w:p>
      <w:pPr>
        <w:spacing w:before="0" w:after="0" w:line="408" w:lineRule="exact"/>
        <w:ind w:left="0" w:right="0" w:firstLine="576"/>
        <w:jc w:val="left"/>
      </w:pPr>
      <w:r>
        <w:rPr/>
        <w:t xml:space="preserve">(3) College in the high school courses shall not include content or instruction that would subject students to religious behavior or conduct by the pilot institution or its faculty.</w:t>
      </w:r>
    </w:p>
    <w:p>
      <w:pPr>
        <w:spacing w:before="0" w:after="0" w:line="408" w:lineRule="exact"/>
        <w:ind w:left="0" w:right="0" w:firstLine="576"/>
        <w:jc w:val="left"/>
      </w:pPr>
      <w:r>
        <w:rPr/>
        <w:t xml:space="preserve">(4)(a) The pilot institution shall provide the following information to the student achievement council by November 1, 2025, and annually thereafter:</w:t>
      </w:r>
    </w:p>
    <w:p>
      <w:pPr>
        <w:spacing w:before="0" w:after="0" w:line="408" w:lineRule="exact"/>
        <w:ind w:left="0" w:right="0" w:firstLine="576"/>
        <w:jc w:val="left"/>
      </w:pPr>
      <w:r>
        <w:rPr/>
        <w:t xml:space="preserve">(i) College in the high school courses offered, including:</w:t>
      </w:r>
    </w:p>
    <w:p>
      <w:pPr>
        <w:spacing w:before="0" w:after="0" w:line="408" w:lineRule="exact"/>
        <w:ind w:left="0" w:right="0" w:firstLine="576"/>
        <w:jc w:val="left"/>
      </w:pPr>
      <w:r>
        <w:rPr/>
        <w:t xml:space="preserve">(A) The name of each course;</w:t>
      </w:r>
    </w:p>
    <w:p>
      <w:pPr>
        <w:spacing w:before="0" w:after="0" w:line="408" w:lineRule="exact"/>
        <w:ind w:left="0" w:right="0" w:firstLine="576"/>
        <w:jc w:val="left"/>
      </w:pPr>
      <w:r>
        <w:rPr/>
        <w:t xml:space="preserve">(B) The number of courses offered;</w:t>
      </w:r>
    </w:p>
    <w:p>
      <w:pPr>
        <w:spacing w:before="0" w:after="0" w:line="408" w:lineRule="exact"/>
        <w:ind w:left="0" w:right="0" w:firstLine="576"/>
        <w:jc w:val="left"/>
      </w:pPr>
      <w:r>
        <w:rPr/>
        <w:t xml:space="preserve">(C) The specific locations where the courses are taught; and</w:t>
      </w:r>
    </w:p>
    <w:p>
      <w:pPr>
        <w:spacing w:before="0" w:after="0" w:line="408" w:lineRule="exact"/>
        <w:ind w:left="0" w:right="0" w:firstLine="576"/>
        <w:jc w:val="left"/>
      </w:pPr>
      <w:r>
        <w:rPr/>
        <w:t xml:space="preserve">(D) Student enrollment information disaggregated by school districts and high schools;</w:t>
      </w:r>
    </w:p>
    <w:p>
      <w:pPr>
        <w:spacing w:before="0" w:after="0" w:line="408" w:lineRule="exact"/>
        <w:ind w:left="0" w:right="0" w:firstLine="576"/>
        <w:jc w:val="left"/>
      </w:pPr>
      <w:r>
        <w:rPr/>
        <w:t xml:space="preserve">(ii) Data on college in the high school student demographics;</w:t>
      </w:r>
    </w:p>
    <w:p>
      <w:pPr>
        <w:spacing w:before="0" w:after="0" w:line="408" w:lineRule="exact"/>
        <w:ind w:left="0" w:right="0" w:firstLine="576"/>
        <w:jc w:val="left"/>
      </w:pPr>
      <w:r>
        <w:rPr/>
        <w:t xml:space="preserve">(iii) Awards of postsecondary credit at the pilot institution; and</w:t>
      </w:r>
    </w:p>
    <w:p>
      <w:pPr>
        <w:spacing w:before="0" w:after="0" w:line="408" w:lineRule="exact"/>
        <w:ind w:left="0" w:right="0" w:firstLine="576"/>
        <w:jc w:val="left"/>
      </w:pPr>
      <w:r>
        <w:rPr/>
        <w:t xml:space="preserve">(iv) The academic performance of students taking the offered college in the high school courses.</w:t>
      </w:r>
    </w:p>
    <w:p>
      <w:pPr>
        <w:spacing w:before="0" w:after="0" w:line="408" w:lineRule="exact"/>
        <w:ind w:left="0" w:right="0" w:firstLine="576"/>
        <w:jc w:val="left"/>
      </w:pPr>
      <w:r>
        <w:rPr/>
        <w:t xml:space="preserve">(b) The student achievement council shall compile the information provided in (a) of this subsection and provide a report to the legislature by December 1, 2025, and annually thereafter, in compliance with RCW 43.01.036.</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"Course" means a class taught under a contract between an institution and a single high school teacher on an articulated subject in which the student is eligible to receive college credit.</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(6) This section expires December 31,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 administering section 1 of this act, the student achievement council shall adopt rules which allow for each institution of higher education to annually sign an affidavit that the institution has adopted policies in compliance with this section. The affidavit must attest to the following nondiscrimination policies:</w:t>
      </w:r>
    </w:p>
    <w:p>
      <w:pPr>
        <w:spacing w:before="0" w:after="0" w:line="408" w:lineRule="exact"/>
        <w:ind w:left="0" w:right="0" w:firstLine="576"/>
        <w:jc w:val="left"/>
      </w:pPr>
      <w:r>
        <w:rPr/>
        <w:t xml:space="preserve">(a) The institution prohibits discrimination on the basis of race, creed, color, national origin, citizenship or immigration status, sex,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(b) The institution operates its education program or activity in a manner free of discrimination. No student may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qualification of the education program; and</w:t>
      </w:r>
    </w:p>
    <w:p>
      <w:pPr>
        <w:spacing w:before="0" w:after="0" w:line="408" w:lineRule="exact"/>
        <w:ind w:left="0" w:right="0" w:firstLine="576"/>
        <w:jc w:val="left"/>
      </w:pPr>
      <w:r>
        <w:rPr/>
        <w:t xml:space="preserve">(c) The institution, acting in its capacity as an employer, does not:</w:t>
      </w:r>
    </w:p>
    <w:p>
      <w:pPr>
        <w:spacing w:before="0" w:after="0" w:line="408" w:lineRule="exact"/>
        <w:ind w:left="0" w:right="0" w:firstLine="576"/>
        <w:jc w:val="left"/>
      </w:pPr>
      <w:r>
        <w:rPr/>
        <w:t xml:space="preserve">(i) Refuse to hire, promote, or confer tenure to any person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occupational qualification. However, the prohibition against discrimination because of a disability in this subsection (1)(c)(i) does not apply if the particular disability prevents the proper performance of the particular work involved. This subsection may not be construed to require an employer to establish employment goals or quotas based on sexual orientation;</w:t>
      </w:r>
    </w:p>
    <w:p>
      <w:pPr>
        <w:spacing w:before="0" w:after="0" w:line="408" w:lineRule="exact"/>
        <w:ind w:left="0" w:right="0" w:firstLine="576"/>
        <w:jc w:val="left"/>
      </w:pPr>
      <w:r>
        <w:rPr/>
        <w:t xml:space="preserve">(ii) Discharge or bar any person from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(iii) Discriminate against any person in compensation or in other terms or conditions of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However, this section does not prohibit an employer from segregating wash rooms or locker room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 or</w:t>
      </w:r>
    </w:p>
    <w:p>
      <w:pPr>
        <w:spacing w:before="0" w:after="0" w:line="408" w:lineRule="exact"/>
        <w:ind w:left="0" w:right="0" w:firstLine="576"/>
        <w:jc w:val="left"/>
      </w:pPr>
      <w:r>
        <w:rPr/>
        <w:t xml:space="preserve">(iv) Print or circulate, or cause to be printed or circulated, any statement, advertisement, or publication, or use any form of application for employment, or make any inquiry in connection with prospective employment, which expresses any limitation, specification, or discrimination as to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campus ministry departments, including the employment, promotion, or granting of tenure of faculty members for courses of study in theology, is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are ineligible to participate in the pilot program in section 1 of this act.</w:t>
      </w:r>
    </w:p>
    <w:p/>
    <w:p>
      <w:pPr>
        <w:jc w:val="center"/>
      </w:pPr>
      <w:r>
        <w:rPr>
          <w:b/>
        </w:rPr>
        <w:t>--- END ---</w:t>
      </w:r>
    </w:p>
    <w:sectPr>
      <w:pgNumType w:start="1"/>
      <w:footerReference xmlns:r="http://schemas.openxmlformats.org/officeDocument/2006/relationships" r:id="R61c3150d74e843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817d949c8641ab" /><Relationship Type="http://schemas.openxmlformats.org/officeDocument/2006/relationships/footer" Target="/word/footer1.xml" Id="R61c3150d74e843aa" /></Relationships>
</file>