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98c50dee6d45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2320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2320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2320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Davis, Eslick, Bergquist, Callan, Dent, Dye, Senn, Leavitt, Harris, Ryu, Walen, Peterson, Pollet, and Ramel)</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public health harms associated with high THC cannabis products by raising awareness, implementing and studying health interventions, and increasing the minimum legal age of sale of high THC cannabis products to prevent psychosis; amending RCW 69.50.357; adding a new section to chapter 71.24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body of research evidencing that consuming cannabis with high concentrations of THC may be harmful to some people, including younger persons and persons who have or are at risk for developing certain mental health conditions or psychotic disorders. Products like THC-infused vape oils, shatter, and dabs can contain close to 100 percent THC, and may carry risks not commonly associated with consumption of useable cannabis flower or other cannabis products with relatively lower THC concentrations. In the interest of public health, the legislature intends to review studies and consider increasing the minimum legal age of sale of high THC cannabis products to age 25, and the legislature intends to require caution notices, developed by the department of health, to be posted at the point of sale in cannabis retail outlets to raise awareness about possible health impacts and risks associated with high THC cannabis. The legislature further intends to implement and study health interventions, gather data, and ensure that new research, data, and information concerning the impacts of high THC cannabis continues to be incorporated into state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provide the department of health with recurring funding available each fiscal year, beginning in fiscal year 2025, to allow the department of health to issue requests for proposals and contract for targeted public health messages and social marketing campaigns directed toward individuals most likely to suffer negative impacts of high THC products including persons under 25 years of age and persons living with mental health challenges. Messages and media campaigns funded must include information about risks, comparative dosing of cannabis products, and resources for persons seeking support for quitting or decreasing their intake of tetrahydrocannabinol. The content of public health messages and social marketing campaigns must be developed in partnership with persons targeted by the messages and campaigns and in consultation with professionals proficient in public health communication and in cannabis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2025, the department of health must develop an optional training that cannabis retail staff may complete to better understand the health and safety impacts of high THC cannabis products. In developing the optional training, the department of health must consult with cannabis retail staff, cannabis consumers, persons who have been harmed by high THC products, health care providers, prevention professionals, researchers with relevant expertise, behavioral health providers, and representatives of licensed cannabis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2022 c 16 s 71 are each amended to read as follows:</w:t>
      </w:r>
    </w:p>
    <w:p>
      <w:pPr>
        <w:spacing w:before="0" w:after="0" w:line="408" w:lineRule="exact"/>
        <w:ind w:left="0" w:right="0" w:firstLine="576"/>
        <w:jc w:val="left"/>
      </w:pPr>
      <w:r>
        <w:rPr/>
        <w:t xml:space="preserve">(1)(a) Retail outlets may not sell products or services other than cannabis concentrates, useable cannabis, cannabis-infused products, or paraphernalia intended for the storage or use of cannabis concentrates, useable cannabis, or cannabis-infused products.</w:t>
      </w:r>
    </w:p>
    <w:p>
      <w:pPr>
        <w:spacing w:before="0" w:after="0" w:line="408" w:lineRule="exact"/>
        <w:ind w:left="0" w:right="0" w:firstLine="576"/>
        <w:jc w:val="left"/>
      </w:pPr>
      <w:r>
        <w:rPr/>
        <w:t xml:space="preserve">(b)(i) Retail outlets may receive lockable boxes, intended for the secure storage of cannabis products and paraphernalia, and related literature as a donation from another person or entity, that is not a cannabis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cannabis products under subsection (2) of this section. Retail outlets may not use the donation of lockable boxes or literature as an incentive or as a condition of a recipient's purchase of a cannabis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cannabis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cannabis endorsement and may purchase products for their personal medical use. Qualifying patients who are under the age of eighteen with a recognition card and who accompany their designated providers may enter and remain on the premises of a retail outlet holding a medical cannabis endorsement, but may not purchase products for their personal medical use.</w:t>
      </w:r>
    </w:p>
    <w:p>
      <w:pPr>
        <w:spacing w:before="0" w:after="0" w:line="408" w:lineRule="exact"/>
        <w:ind w:left="0" w:right="0" w:firstLine="576"/>
        <w:jc w:val="left"/>
      </w:pPr>
      <w:r>
        <w:rPr/>
        <w:t xml:space="preserve">(3)(a) Licensed cannabis retailers must ensure that all employees are trained on the rules adopted to implement this chapter, identification of persons under the age of twenty-one, and other requirements adopted by the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cannabis retailers with a medical cannabis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cannabis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board, no licensed cannabis retailer or employee of a retail outlet may open or consume, or allow to be opened or consumed, any cannabis concentrates, useable cannabis, or cannabis-infused product on the outlet premises.</w:t>
      </w:r>
    </w:p>
    <w:p>
      <w:pPr>
        <w:spacing w:before="0" w:after="0" w:line="408" w:lineRule="exact"/>
        <w:ind w:left="0" w:right="0" w:firstLine="576"/>
        <w:jc w:val="left"/>
      </w:pPr>
      <w:r>
        <w:rPr/>
        <w:t xml:space="preserve">(5)</w:t>
      </w:r>
      <w:r>
        <w:rPr>
          <w:u w:val="single"/>
        </w:rPr>
        <w:t xml:space="preserve">(a) By December 31, 2024, licensed cannabis retailers shall post a conspicuous notice at the point of sale in retail outlets with information about: (i) The potential health risks and adverse health impacts that may be associated with the consumption of high THC cannabis; (ii) the potentially much higher risks that may be present for younger persons under age 25 as well as for persons who have or are at risk for developing certain mental health conditions or psychotic disorders; and (iii) where to find help in case of negative effects and resources for quitting or reducing cannabis consumption. The notice must be the same or substantially the same as the notice developed by the department of health under this subsection (5).</w:t>
      </w:r>
    </w:p>
    <w:p>
      <w:pPr>
        <w:spacing w:before="0" w:after="0" w:line="408" w:lineRule="exact"/>
        <w:ind w:left="0" w:right="0" w:firstLine="576"/>
        <w:jc w:val="left"/>
      </w:pPr>
      <w:r>
        <w:rPr>
          <w:u w:val="single"/>
        </w:rPr>
        <w:t xml:space="preserve">(b) The department of health shall develop the notice required under this section and make it available to licensed cannabis retailers. The notice must, at a minimum, identify the information specified in (a)(i) through (iii) of this subsection, and may include additional information.</w:t>
      </w:r>
    </w:p>
    <w:p>
      <w:pPr>
        <w:spacing w:before="0" w:after="0" w:line="408" w:lineRule="exact"/>
        <w:ind w:left="0" w:right="0" w:firstLine="576"/>
        <w:jc w:val="left"/>
      </w:pPr>
      <w:r>
        <w:rPr>
          <w:u w:val="single"/>
        </w:rPr>
        <w:t xml:space="preserve">(6)</w:t>
      </w:r>
      <w:r>
        <w:rPr/>
        <w:t xml:space="preserve"> The board must fine a licensee one thousand dollars for each violation of any subsection of this section. Fines collected under this section must be deposited into the dedicated cannabis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health care authority must issue a request for proposal and contract with an entity to develop, implement, test, and evaluate guidance and health interventions for health care providers and patients at risk for developing serious complications due to cannabis consumption who are seeking care in emergency departments, primary care settings, behavioral health settings, other health care facilities, and for use by state poison control and recovery hotlines to promote cannabis use reduction and cessation for the following populations:</w:t>
      </w:r>
    </w:p>
    <w:p>
      <w:pPr>
        <w:spacing w:before="0" w:after="0" w:line="408" w:lineRule="exact"/>
        <w:ind w:left="0" w:right="0" w:firstLine="576"/>
        <w:jc w:val="left"/>
      </w:pPr>
      <w:r>
        <w:rPr/>
        <w:t xml:space="preserve">(a) Youth and adults at high risk of adverse mental health impacts from use of high THC cannabis;</w:t>
      </w:r>
    </w:p>
    <w:p>
      <w:pPr>
        <w:spacing w:before="0" w:after="0" w:line="408" w:lineRule="exact"/>
        <w:ind w:left="0" w:right="0" w:firstLine="576"/>
        <w:jc w:val="left"/>
      </w:pPr>
      <w:r>
        <w:rPr/>
        <w:t xml:space="preserve">(b) Youth and adults who have experienced a cannabis-induced first episode psychosis but do not have a diagnosis of a psychotic disorder; and</w:t>
      </w:r>
    </w:p>
    <w:p>
      <w:pPr>
        <w:spacing w:before="0" w:after="0" w:line="408" w:lineRule="exact"/>
        <w:ind w:left="0" w:right="0" w:firstLine="576"/>
        <w:jc w:val="left"/>
      </w:pPr>
      <w:r>
        <w:rPr/>
        <w:t xml:space="preserve">(c) Youth and adults who have a diagnosed psychotic disorder and use cannabis.</w:t>
      </w:r>
    </w:p>
    <w:p>
      <w:pPr>
        <w:spacing w:before="0" w:after="0" w:line="408" w:lineRule="exact"/>
        <w:ind w:left="0" w:right="0" w:firstLine="576"/>
        <w:jc w:val="left"/>
      </w:pPr>
      <w:r>
        <w:rPr/>
        <w:t xml:space="preserve">(2) The health care authority must submit a preliminary report to the appropriate committees of the legislature summarizing the progress toward developing and testing health interventions and recruiting patients and health care facilities to participate by December 1, 2025. The health care authority must provide a progress report on initial outcomes of the health interventions for participating patients and health care facilities by July 1, 2027. The health care authority must submit a final report to the appropriate committees of the legislature summarizing the results of the interventions and any recommendations for implementation of health interventions by December 1, 2028.</w:t>
      </w:r>
    </w:p>
    <w:p>
      <w:pPr>
        <w:spacing w:before="0" w:after="0" w:line="408" w:lineRule="exact"/>
        <w:ind w:left="0" w:right="0" w:firstLine="576"/>
        <w:jc w:val="left"/>
      </w:pPr>
      <w:r>
        <w:rPr/>
        <w:t xml:space="preserve">(3) A contract entered under the authorization in this section must include, in the scope of work, data gathering on adverse health impacts occurring in Washington associated with consumption of high THC cannabis, and data gathered must be included in the reports submitted to the legislature under this section.</w:t>
      </w:r>
    </w:p>
    <w:p>
      <w:pPr>
        <w:spacing w:before="0" w:after="0" w:line="408" w:lineRule="exact"/>
        <w:ind w:left="0" w:right="0" w:firstLine="576"/>
        <w:jc w:val="left"/>
      </w:pPr>
      <w:r>
        <w:rPr/>
        <w:t xml:space="preserve">(4) This section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December 1, 2024, the liquor and cannabis board must collect data on the following information on cannabis products sold within Washington state:</w:t>
      </w:r>
    </w:p>
    <w:p>
      <w:pPr>
        <w:spacing w:before="0" w:after="0" w:line="408" w:lineRule="exact"/>
        <w:ind w:left="0" w:right="0" w:firstLine="576"/>
        <w:jc w:val="left"/>
      </w:pPr>
      <w:r>
        <w:rPr/>
        <w:t xml:space="preserve">(a) The amount of products being sold in the following categories: Usable cannabis, cannabis concentrates, and cannabis-infused products;</w:t>
      </w:r>
    </w:p>
    <w:p>
      <w:pPr>
        <w:spacing w:before="0" w:after="0" w:line="408" w:lineRule="exact"/>
        <w:ind w:left="0" w:right="0" w:firstLine="576"/>
        <w:jc w:val="left"/>
      </w:pPr>
      <w:r>
        <w:rPr/>
        <w:t xml:space="preserve">(b) The average THC concentration in usable cannabis and cannabis concentrates, and the average milligrams of THC per unit in cannabis-infused products; and</w:t>
      </w:r>
    </w:p>
    <w:p>
      <w:pPr>
        <w:spacing w:before="0" w:after="0" w:line="408" w:lineRule="exact"/>
        <w:ind w:left="0" w:right="0" w:firstLine="576"/>
        <w:jc w:val="left"/>
      </w:pPr>
      <w:r>
        <w:rPr/>
        <w:t xml:space="preserve">(c) The range of THC concentration in usable cannabis and cannabis concentrates.</w:t>
      </w:r>
    </w:p>
    <w:p>
      <w:pPr>
        <w:spacing w:before="0" w:after="0" w:line="408" w:lineRule="exact"/>
        <w:ind w:left="0" w:right="0" w:firstLine="576"/>
        <w:jc w:val="left"/>
      </w:pPr>
      <w:r>
        <w:rPr/>
        <w:t xml:space="preserve">(2) By November 14, 2025, the liquor and cannabis board must submit a report to the relevant committees of the legislature on the information collected under subsection (1) of this section.</w:t>
      </w:r>
    </w:p>
    <w:p>
      <w:pPr>
        <w:spacing w:before="0" w:after="0" w:line="408" w:lineRule="exact"/>
        <w:ind w:left="0" w:right="0" w:firstLine="576"/>
        <w:jc w:val="left"/>
      </w:pPr>
      <w:r>
        <w:rPr/>
        <w:t xml:space="preserve">(3) For the purposes of this section, "product" has the meaning provided in RCW 69.50.535.</w:t>
      </w:r>
    </w:p>
    <w:p>
      <w:pPr>
        <w:spacing w:before="0" w:after="0" w:line="408" w:lineRule="exact"/>
        <w:ind w:left="0" w:right="0" w:firstLine="576"/>
        <w:jc w:val="left"/>
      </w:pPr>
      <w:r>
        <w:rPr/>
        <w:t xml:space="preserve">(4) This section expires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936c712216dc4c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f52e7fd5224dfe" /><Relationship Type="http://schemas.openxmlformats.org/officeDocument/2006/relationships/footer" Target="/word/footer1.xml" Id="R936c712216dc4cb2" /></Relationships>
</file>