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4cc05c94c47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2124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86</w:t>
            </w:r>
            <w:r>
              <w:t xml:space="preserve">  Nays </w:t>
              <w:t xml:space="preserve">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39</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2124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2124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Eslick, Senn, Leavitt, Chapman, Reed, Ramel, Callan, Rule, Goodman, Tharinger, Wylie, Timmons, Stonier, Reeves, and Kloba)</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and expanding access to child care and early learning programs; amending RCW 43.216.1364, 43.216.775, and 43.216.---; reenacting and amending RCW 43.216.136;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2023 c 294 s 1 and 2023 c 222 s 3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12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w:t>
      </w:r>
    </w:p>
    <w:p>
      <w:pPr>
        <w:spacing w:before="0" w:after="0" w:line="408" w:lineRule="exact"/>
        <w:ind w:left="0" w:right="0" w:firstLine="576"/>
        <w:jc w:val="left"/>
      </w:pPr>
      <w:r>
        <w:rPr/>
        <w:t xml:space="preserve">(C) Received services through a family assessment response as defined and used by chapter 26.44 RCW; or</w:t>
      </w:r>
    </w:p>
    <w:p>
      <w:pPr>
        <w:spacing w:before="0" w:after="0" w:line="408" w:lineRule="exact"/>
        <w:ind w:left="0" w:right="0" w:firstLine="576"/>
        <w:jc w:val="left"/>
      </w:pPr>
      <w:r>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(ii) Have been referred for child care as part of the family's case management as defined by RCW 74.13.020 or as part of the specialty court or therapeutic court's proceedings;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or keep participating in a specialty court or therapeutic court identified in this subsection to maintain 12-month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 or</w:t>
      </w:r>
    </w:p>
    <w:p>
      <w:pPr>
        <w:spacing w:before="0" w:after="0" w:line="408" w:lineRule="exact"/>
        <w:ind w:left="0" w:right="0" w:firstLine="576"/>
        <w:jc w:val="left"/>
      </w:pPr>
      <w:r>
        <w:rPr/>
        <w:t xml:space="preserve">(ii) An associate degree program.</w:t>
      </w:r>
    </w:p>
    <w:p>
      <w:pPr>
        <w:spacing w:before="0" w:after="0" w:line="408" w:lineRule="exact"/>
        <w:ind w:left="0" w:right="0" w:firstLine="576"/>
        <w:jc w:val="left"/>
      </w:pPr>
      <w:r>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 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t xml:space="preserve">(6) </w:t>
      </w:r>
      <w:r>
        <w:rPr>
          <w:u w:val="single"/>
        </w:rPr>
        <w:t xml:space="preserve">The department must consider an applicant or consumer's participation in the birth to three early childhood education and assistance program or the early head start program as an approved activity when determining eligibility for working connections child care benefits</w:t>
      </w:r>
      <w:r>
        <w:rPr>
          <w:u w:val="single"/>
        </w:rPr>
        <w:t xml:space="preserve">.</w:t>
      </w:r>
    </w:p>
    <w:p>
      <w:pPr>
        <w:spacing w:before="0" w:after="0" w:line="408" w:lineRule="exact"/>
        <w:ind w:left="0" w:right="0" w:firstLine="576"/>
        <w:jc w:val="left"/>
      </w:pPr>
      <w:r>
        <w:rPr>
          <w:u w:val="single"/>
        </w:rPr>
        <w:t xml:space="preserve">(7)</w:t>
      </w:r>
      <w:r>
        <w:rPr/>
        <w:t xml:space="preserve">(a) An applicant or consumer is eligible to receive working connections child care benefits for the care of one or more eligible children for the first 12 months of the applicant's or consumer's enrollment in a state registered apprenticeship program under chapter 49.04 RCW when:</w:t>
      </w:r>
    </w:p>
    <w:p>
      <w:pPr>
        <w:spacing w:before="0" w:after="0" w:line="408" w:lineRule="exact"/>
        <w:ind w:left="0" w:right="0" w:firstLine="576"/>
        <w:jc w:val="left"/>
      </w:pPr>
      <w:r>
        <w:rPr/>
        <w:t xml:space="preserve">(i) The applicant or consumer's household annual income adjusted for family size does not exceed 75 percent of the state median income at the time of application, or, beginning July 1, 2027, does not exceed 85 percent of the state median income if funds are appropriated for the purpose of RCW 43.216.1368(4);</w:t>
      </w:r>
    </w:p>
    <w:p>
      <w:pPr>
        <w:spacing w:before="0" w:after="0" w:line="408" w:lineRule="exact"/>
        <w:ind w:left="0" w:right="0" w:firstLine="576"/>
        <w:jc w:val="left"/>
      </w:pPr>
      <w:r>
        <w:rPr/>
        <w:t xml:space="preserve">(ii) The child receiving care is: (A) Less than 13 years of age; or (B) less than 19 years of age and either has a verified special need according to department rule or is under court supervision; and</w:t>
      </w:r>
    </w:p>
    <w:p>
      <w:pPr>
        <w:spacing w:before="0" w:after="0" w:line="408" w:lineRule="exact"/>
        <w:ind w:left="0" w:right="0" w:firstLine="576"/>
        <w:jc w:val="left"/>
      </w:pPr>
      <w:r>
        <w:rPr/>
        <w:t xml:space="preserve">(iii) The household meets all other program eligibility requirements.</w:t>
      </w:r>
    </w:p>
    <w:p>
      <w:pPr>
        <w:spacing w:before="0" w:after="0" w:line="408" w:lineRule="exact"/>
        <w:ind w:left="0" w:right="0" w:firstLine="576"/>
        <w:jc w:val="left"/>
      </w:pPr>
      <w:r>
        <w:rPr/>
        <w:t xml:space="preserve">(b) The department must adopt a copayment model for benefits granted under this subsection, which must align with any copayment identified or adopted for households with the same income level under RCW 43.216.1368.</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department must extend the homeless grace period, as adopted in department rule as of January 1, 2020, from a four-month grace period to a 12-month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1364</w:t>
      </w:r>
      <w:r>
        <w:rPr/>
        <w:t xml:space="preserve"> and 2023 c 222 s 2 are each amended to read as follows:</w:t>
      </w:r>
    </w:p>
    <w:p>
      <w:pPr>
        <w:spacing w:before="0" w:after="0" w:line="408" w:lineRule="exact"/>
        <w:ind w:left="0" w:right="0" w:firstLine="576"/>
        <w:jc w:val="left"/>
      </w:pPr>
      <w:r>
        <w:rPr/>
        <w:t xml:space="preserve">(1) Beginning October 1, 2023, a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w:t>
      </w:r>
      <w:r>
        <w:t>((</w:t>
      </w:r>
      <w:r>
        <w:rPr>
          <w:strike/>
        </w:rPr>
        <w:t xml:space="preserve">in a licensed child care center or family home provider</w:t>
      </w:r>
      <w:r>
        <w:t>))</w:t>
      </w:r>
      <w:r>
        <w:rPr/>
        <w:t xml:space="preserve">, as verified in the agency's electronic workforce registry</w:t>
      </w:r>
      <w:r>
        <w:rPr>
          <w:u w:val="single"/>
        </w:rPr>
        <w:t xml:space="preserve">, in a:</w:t>
      </w:r>
    </w:p>
    <w:p>
      <w:pPr>
        <w:spacing w:before="0" w:after="0" w:line="408" w:lineRule="exact"/>
        <w:ind w:left="0" w:right="0" w:firstLine="576"/>
        <w:jc w:val="left"/>
      </w:pPr>
      <w:r>
        <w:rPr>
          <w:u w:val="single"/>
        </w:rPr>
        <w:t xml:space="preserve">(i) Licensed or certified child care center or family home provider;</w:t>
      </w:r>
    </w:p>
    <w:p>
      <w:pPr>
        <w:spacing w:before="0" w:after="0" w:line="408" w:lineRule="exact"/>
        <w:ind w:left="0" w:right="0" w:firstLine="576"/>
        <w:jc w:val="left"/>
      </w:pPr>
      <w:r>
        <w:rPr>
          <w:u w:val="single"/>
        </w:rPr>
        <w:t xml:space="preserve">(ii) Early childhood education and assistance program or birth to three early childhood education and assistance program; or</w:t>
      </w:r>
    </w:p>
    <w:p>
      <w:pPr>
        <w:spacing w:before="0" w:after="0" w:line="408" w:lineRule="exact"/>
        <w:ind w:left="0" w:right="0" w:firstLine="576"/>
        <w:jc w:val="left"/>
      </w:pPr>
      <w:r>
        <w:rPr>
          <w:u w:val="single"/>
        </w:rPr>
        <w:t xml:space="preserve">(iii) Head start or early head start program or a successor federal program</w:t>
      </w:r>
      <w:r>
        <w:rPr/>
        <w:t xml:space="preserve">; and</w:t>
      </w:r>
    </w:p>
    <w:p>
      <w:pPr>
        <w:spacing w:before="0" w:after="0" w:line="408" w:lineRule="exact"/>
        <w:ind w:left="0" w:right="0" w:firstLine="576"/>
        <w:jc w:val="left"/>
      </w:pPr>
      <w:r>
        <w:rPr/>
        <w:t xml:space="preserve">(c) The household meets all other program eligibility requirements.</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775</w:t>
      </w:r>
      <w:r>
        <w:rPr/>
        <w:t xml:space="preserve"> and 2021 c 199 s 106 are each amended to read as follows:</w:t>
      </w:r>
    </w:p>
    <w:p>
      <w:pPr>
        <w:spacing w:before="0" w:after="0" w:line="408" w:lineRule="exact"/>
        <w:ind w:left="0" w:right="0" w:firstLine="576"/>
        <w:jc w:val="left"/>
      </w:pPr>
      <w:r>
        <w:t>((</w:t>
      </w:r>
      <w:r>
        <w:rPr>
          <w:strike/>
        </w:rPr>
        <w:t xml:space="preserve">Beginning July 1, 2023, and subject to the availability of amounts appropriated for this specific purpose, rates</w:t>
      </w:r>
      <w:r>
        <w:t>))</w:t>
      </w:r>
      <w:r>
        <w:rPr/>
        <w:t xml:space="preserve"> </w:t>
      </w:r>
      <w:r>
        <w:rPr>
          <w:u w:val="single"/>
        </w:rPr>
        <w:t xml:space="preserve">(1) Rates</w:t>
      </w:r>
      <w:r>
        <w:rPr/>
        <w:t xml:space="preserve"> paid under RCW </w:t>
      </w:r>
      <w:r>
        <w:t>((</w:t>
      </w:r>
      <w:r>
        <w:rPr>
          <w:strike/>
        </w:rPr>
        <w:t xml:space="preserve">43.216.579, 43.216.585,</w:t>
      </w:r>
      <w:r>
        <w:t>))</w:t>
      </w:r>
      <w:r>
        <w:rPr/>
        <w:t xml:space="preserve"> 43.216.592</w:t>
      </w:r>
      <w:r>
        <w:t>((</w:t>
      </w:r>
      <w:r>
        <w:rPr>
          <w:strike/>
        </w:rPr>
        <w:t xml:space="preserve">, and 43.216.578</w:t>
      </w:r>
      <w:r>
        <w:t>))</w:t>
      </w:r>
      <w:r>
        <w:rPr/>
        <w:t xml:space="preserve"> must be adjusted every two years according to an inflationary increase. The inflationary increase must be calculated by applying the rate of the increase in the inflationary adjustment index to the rates established </w:t>
      </w:r>
      <w:r>
        <w:t>((</w:t>
      </w:r>
      <w:r>
        <w:rPr>
          <w:strike/>
        </w:rPr>
        <w:t xml:space="preserve">in RCW 43.216.579, 43.216.585,</w:t>
      </w:r>
      <w:r>
        <w:t>))</w:t>
      </w:r>
      <w:r>
        <w:rPr/>
        <w:t xml:space="preserve"> </w:t>
      </w:r>
      <w:r>
        <w:rPr>
          <w:u w:val="single"/>
        </w:rPr>
        <w:t xml:space="preserve">pursuant to RCW</w:t>
      </w:r>
      <w:r>
        <w:rPr/>
        <w:t xml:space="preserve"> 43.216.592</w:t>
      </w:r>
      <w:r>
        <w:t>((</w:t>
      </w:r>
      <w:r>
        <w:rPr>
          <w:strike/>
        </w:rPr>
        <w:t xml:space="preserve">, and 43.216.578. Any</w:t>
      </w:r>
      <w:r>
        <w:t>))</w:t>
      </w:r>
      <w:r>
        <w:rPr>
          <w:u w:val="single"/>
        </w:rPr>
        <w:t xml:space="preserve">.</w:t>
      </w:r>
    </w:p>
    <w:p>
      <w:pPr>
        <w:spacing w:before="0" w:after="0" w:line="408" w:lineRule="exact"/>
        <w:ind w:left="0" w:right="0" w:firstLine="576"/>
        <w:jc w:val="left"/>
      </w:pPr>
      <w:r>
        <w:rPr>
          <w:u w:val="single"/>
        </w:rPr>
        <w:t xml:space="preserve">(2) Subject to the availability of amounts appropriated for this specific purpose, rates paid under RCW 43.216.579, 43.216.585, and 43.216.578 must be adjusted every two years according to an inflationary increase. The inflationary increase must be calculated by applying the rate of the increase in the inflationary adjustment index to the rates established pursuant to RCW 43.216.579, 43.216.585, and 43.216.578.</w:t>
      </w:r>
    </w:p>
    <w:p>
      <w:pPr>
        <w:spacing w:before="0" w:after="0" w:line="408" w:lineRule="exact"/>
        <w:ind w:left="0" w:right="0" w:firstLine="576"/>
        <w:jc w:val="left"/>
      </w:pPr>
      <w:r>
        <w:rPr>
          <w:u w:val="single"/>
        </w:rPr>
        <w:t xml:space="preserve">(3) Inflationary increases under subsection (1) of this section and any</w:t>
      </w:r>
      <w:r>
        <w:rPr/>
        <w:t xml:space="preserve"> funded inflationary increase </w:t>
      </w:r>
      <w:r>
        <w:rPr>
          <w:u w:val="single"/>
        </w:rPr>
        <w:t xml:space="preserve">under subsection (2) of this section</w:t>
      </w:r>
      <w:r>
        <w:rPr/>
        <w:t xml:space="preserve"> must be included in the rate used to determine inflationary increases in subsequent years. </w:t>
      </w:r>
    </w:p>
    <w:p>
      <w:pPr>
        <w:spacing w:before="0" w:after="0" w:line="408" w:lineRule="exact"/>
        <w:ind w:left="0" w:right="0" w:firstLine="576"/>
        <w:jc w:val="left"/>
      </w:pPr>
      <w:r>
        <w:rPr>
          <w:u w:val="single"/>
        </w:rPr>
        <w:t xml:space="preserve">(4)</w:t>
      </w:r>
      <w:r>
        <w:rPr/>
        <w:t xml:space="preserve"> For the purposes of this section, "inflationary adjustment index" means the implicit price deflator averaged for each fiscal year, using the official current base rate, compiled by the bureau of economic analysis, United States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43.216.--- and 2024 c ... (HB 2111) s 4 are each amended to read as follows:</w:t>
      </w:r>
    </w:p>
    <w:p>
      <w:pPr>
        <w:spacing w:before="0" w:after="0" w:line="408" w:lineRule="exact"/>
        <w:ind w:left="0" w:right="0" w:firstLine="576"/>
        <w:jc w:val="left"/>
      </w:pPr>
      <w:r>
        <w:rPr/>
        <w:t xml:space="preserve">(1)(a)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 or</w:t>
      </w:r>
    </w:p>
    <w:p>
      <w:pPr>
        <w:spacing w:before="0" w:after="0" w:line="408" w:lineRule="exact"/>
        <w:ind w:left="0" w:right="0" w:firstLine="576"/>
        <w:jc w:val="left"/>
      </w:pPr>
      <w:r>
        <w:rPr/>
        <w:t xml:space="preserve">(ii) An associate degree program.</w:t>
      </w:r>
    </w:p>
    <w:p>
      <w:pPr>
        <w:spacing w:before="0" w:after="0" w:line="408" w:lineRule="exact"/>
        <w:ind w:left="0" w:right="0" w:firstLine="576"/>
        <w:jc w:val="left"/>
      </w:pPr>
      <w:r>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Subject to the availability of amounts appropriated for this specific purpose, the department may extend the provisions of this </w:t>
      </w:r>
      <w:r>
        <w:rPr>
          <w:u w:val="single"/>
        </w:rPr>
        <w:t xml:space="preserve">sub</w:t>
      </w:r>
      <w:r>
        <w:rPr/>
        <w:t xml:space="preserve">section to full-time students who are enrolled in a bachelor's degree program or applied baccalaureate degree program.</w:t>
      </w:r>
    </w:p>
    <w:p>
      <w:pPr>
        <w:spacing w:before="0" w:after="0" w:line="408" w:lineRule="exact"/>
        <w:ind w:left="0" w:right="0" w:firstLine="576"/>
        <w:jc w:val="left"/>
      </w:pPr>
      <w:r>
        <w:rPr>
          <w:u w:val="single"/>
        </w:rPr>
        <w:t xml:space="preserve">(2) The department must consider an applicant or consumer's participation in the birth to three early childhood education and assistance program or the early head start program as an approved activity when determining eligibility for working connections child care benefits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4 of this act is null and void if chapter . . . (House Bill No. 2111), Laws of 2024 is not enacted by November 1, 2024.</w:t>
      </w:r>
    </w:p>
    <w:p>
      <w:pPr>
        <w:spacing w:before="0" w:after="0" w:line="408" w:lineRule="exact"/>
        <w:ind w:left="0" w:right="0" w:firstLine="576"/>
        <w:jc w:val="left"/>
      </w:pPr>
      <w:r>
        <w:rPr/>
        <w:t xml:space="preserve">(2) Section 1 of this act is null and void if section 4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974157ec527447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74bef171554faa" /><Relationship Type="http://schemas.openxmlformats.org/officeDocument/2006/relationships/footer" Target="/word/footer1.xml" Id="R974157ec527447b6" /></Relationships>
</file>