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1d84a3e1c4a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1982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1982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Waters, Shavers, Ryu, Couture, Ramos, McClintock, Callan, Cheney, Doglio, Sandlin, Paul, Harris, Berg, Tharinger, Riccelli, and Santos</w:t>
      </w:r>
    </w:p>
    <w:p/>
    <w:p>
      <w:r>
        <w:rPr>
          <w:t xml:space="preserve">Prefiled 12/19/23.</w:t>
        </w:rPr>
      </w:r>
      <w:r>
        <w:rPr>
          <w:t xml:space="preserve">Read first time 01/08/24.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community economic revitalization board with respect to loans and grants to political subdivisions and federally recognized Indian tribes for broadband; amending RCW 43.160.020; adding a new section to chapter 43.160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high-speed internet connectivity through broadband is essential to support educational opportunity; innovations in the provision of education, public safety, and health care; and business growth. The legislature also finds that open-access broadband networks create a public platform that bolsters the private sector's ability to provide broadband internet access to communities for which access was previously cost-prohibitive. Therefore, to efficiently and sustainably expand access to broadband throughout Washington, this act establishes a grant and loan program through the community economic revitalization board for local governments and federally recognized Indian tribes to develop open-access broadband networks.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020</w:t>
      </w:r>
      <w:r>
        <w:rPr/>
        <w:t xml:space="preserve"> and 2012 c 225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community economic revitalization board.</w:t>
      </w:r>
    </w:p>
    <w:p>
      <w:pPr>
        <w:spacing w:before="0" w:after="0" w:line="408" w:lineRule="exact"/>
        <w:ind w:left="0" w:right="0" w:firstLine="576"/>
        <w:jc w:val="left"/>
      </w:pPr>
      <w:r>
        <w:rPr/>
        <w:t xml:space="preserve">(2) </w:t>
      </w:r>
      <w:r>
        <w:rPr>
          <w:u w:val="single"/>
        </w:rPr>
        <w:t xml:space="preserve">"Broadband" means a network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u w:val="single"/>
        </w:rPr>
        <w:t xml:space="preserve">(3)</w:t>
      </w:r>
      <w:r>
        <w:rPr/>
        <w:t xml:space="preserve"> "Department" means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"Local government" or "political subdivision" means any port district, county, city, town, special purpose district, and any other municipal corporations or quasi-municipal corporations in the state providing for public facilities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"Public facilities" means a project of a local government or a federally recognized Indian tribe for the planning, acquisition, construction, repair, reconstruction, replacement, rehabilitation, or improvement of: Bridges; roads; research, testing, training, and incubation facilities in areas designated as innovation partnership zones under RCW 43.330.270; buildings or structures; domestic and industrial water, earth stabilization, sanitary sewer, storm sewer, railroad, electricity, telecommunications, transportation, natural gas, and port facilities; all for the purpose of job creation, job retention, or job expansion.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"Rural county" means a county with a population density of fewer than one hundred persons per square mile or a county smaller than two hundred twenty-five square miles, as determined by the office of financial management and published each year by the department for the period July 1st to June 30th.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The board is authorized to make rural broadband loans and grants to local governments and to federally recognized Indian tribes for the purposes of financing the cost to build infrastructure to provide high-speed, open-access broadband service, to rural and underserved communities, for the purpose of economic or community development.</w:t>
      </w:r>
    </w:p>
    <w:p>
      <w:pPr>
        <w:spacing w:before="0" w:after="0" w:line="408" w:lineRule="exact"/>
        <w:ind w:left="0" w:right="0" w:firstLine="576"/>
        <w:jc w:val="left"/>
      </w:pPr>
      <w:r>
        <w:rPr/>
        <w:t xml:space="preserve">(2) Applications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 or</w:t>
      </w:r>
    </w:p>
    <w:p>
      <w:pPr>
        <w:spacing w:before="0" w:after="0" w:line="408" w:lineRule="exact"/>
        <w:ind w:left="0" w:right="0" w:firstLine="576"/>
        <w:jc w:val="left"/>
      </w:pPr>
      <w:r>
        <w:rPr/>
        <w:t xml:space="preserve">(ii) For the deployment of publicly owned telecommunications network infrastructure (commonly referred to as "backbone") solely for the sake of creating competitive, publicly owned telecommunications network infrastructure.</w:t>
      </w:r>
    </w:p>
    <w:p>
      <w:pPr>
        <w:spacing w:before="0" w:after="0" w:line="408" w:lineRule="exact"/>
        <w:ind w:left="0" w:right="0" w:firstLine="576"/>
        <w:jc w:val="left"/>
      </w:pPr>
      <w:r>
        <w:rPr/>
        <w:t xml:space="preserve">(b) The board may provide financial assistance only for projects located in a rural community as defined by the board, or located in a rural county, that encourage, foster, develop, and improve broadband within the state in order to:</w:t>
      </w:r>
    </w:p>
    <w:p>
      <w:pPr>
        <w:spacing w:before="0" w:after="0" w:line="408" w:lineRule="exact"/>
        <w:ind w:left="0" w:right="0" w:firstLine="576"/>
        <w:jc w:val="left"/>
      </w:pPr>
      <w:r>
        <w:rPr/>
        <w:t xml:space="preserve">(i) Drive job creation, promote innovation, and expand markets for local businesses; or</w:t>
      </w:r>
    </w:p>
    <w:p>
      <w:pPr>
        <w:spacing w:before="0" w:after="0" w:line="408" w:lineRule="exact"/>
        <w:ind w:left="0" w:right="0" w:firstLine="576"/>
        <w:jc w:val="left"/>
      </w:pPr>
      <w:r>
        <w:rPr/>
        <w:t xml:space="preserve">(ii) Serve the ongoing and growing needs of the local education system, health care system, public safety system, industries and businesses, governmental operations, and citizens.</w:t>
      </w:r>
    </w:p>
    <w:p>
      <w:pPr>
        <w:spacing w:before="0" w:after="0" w:line="408" w:lineRule="exact"/>
        <w:ind w:left="0" w:right="0" w:firstLine="576"/>
        <w:jc w:val="left"/>
      </w:pPr>
      <w:r>
        <w:rPr/>
        <w:t xml:space="preserve">(c)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(d)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(e) When evaluating and prioritizing projects, the board must give consideration, at a minimum, to the following factors:</w:t>
      </w:r>
    </w:p>
    <w:p>
      <w:pPr>
        <w:spacing w:before="0" w:after="0" w:line="408" w:lineRule="exact"/>
        <w:ind w:left="0" w:right="0" w:firstLine="576"/>
        <w:jc w:val="left"/>
      </w:pPr>
      <w:r>
        <w:rPr/>
        <w:t xml:space="preserve">(i) The project's value to the community, including evidence of support from affected local businesses and government;</w:t>
      </w:r>
    </w:p>
    <w:p>
      <w:pPr>
        <w:spacing w:before="0" w:after="0" w:line="408" w:lineRule="exact"/>
        <w:ind w:left="0" w:right="0" w:firstLine="576"/>
        <w:jc w:val="left"/>
      </w:pPr>
      <w:r>
        <w:rPr/>
        <w:t xml:space="preserve">(ii) The project's feasibility, using standard economic principles;</w:t>
      </w:r>
    </w:p>
    <w:p>
      <w:pPr>
        <w:spacing w:before="0" w:after="0" w:line="408" w:lineRule="exact"/>
        <w:ind w:left="0" w:right="0" w:firstLine="576"/>
        <w:jc w:val="left"/>
      </w:pPr>
      <w:r>
        <w:rPr/>
        <w:t xml:space="preserve">(iii) Commitment of local matching resources and local participation;</w:t>
      </w:r>
    </w:p>
    <w:p>
      <w:pPr>
        <w:spacing w:before="0" w:after="0" w:line="408" w:lineRule="exact"/>
        <w:ind w:left="0" w:right="0" w:firstLine="576"/>
        <w:jc w:val="left"/>
      </w:pPr>
      <w:r>
        <w:rPr/>
        <w:t xml:space="preserve">(iv) The project's use of a technology-neutral approach in order to expand access at the lowest cost;</w:t>
      </w:r>
    </w:p>
    <w:p>
      <w:pPr>
        <w:spacing w:before="0" w:after="0" w:line="408" w:lineRule="exact"/>
        <w:ind w:left="0" w:right="0" w:firstLine="576"/>
        <w:jc w:val="left"/>
      </w:pPr>
      <w:r>
        <w:rPr/>
        <w:t xml:space="preserve">(v) The project's inclusion in a capital facilities plan, comprehensive plan, or local economic development plan consistent with applicable state planning requirements; and</w:t>
      </w:r>
    </w:p>
    <w:p>
      <w:pPr>
        <w:spacing w:before="0" w:after="0" w:line="408" w:lineRule="exact"/>
        <w:ind w:left="0" w:right="0" w:firstLine="576"/>
        <w:jc w:val="left"/>
      </w:pPr>
      <w:r>
        <w:rPr/>
        <w:t xml:space="preserve">(vi) The project's readiness to proceed.</w:t>
      </w:r>
    </w:p>
    <w:p>
      <w:pPr>
        <w:spacing w:before="0" w:after="0" w:line="408" w:lineRule="exact"/>
        <w:ind w:left="0" w:right="0" w:firstLine="576"/>
        <w:jc w:val="left"/>
      </w:pPr>
      <w:r>
        <w:rPr/>
        <w:t xml:space="preserve">(3)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rPr/>
        <w:t xml:space="preserve">(4) Before any financial assistance application is approved, the local government or the federally recognized Indian tribe seeking the assistance must demonstrate to the board that no other timely source of funding is available to it at costs reasonably similar to financing available from the board.</w:t>
      </w:r>
    </w:p>
    <w:p/>
    <w:p>
      <w:pPr>
        <w:jc w:val="center"/>
      </w:pPr>
      <w:r>
        <w:rPr>
          <w:b/>
        </w:rPr>
        <w:t>--- END ---</w:t>
      </w:r>
    </w:p>
    <w:sectPr>
      <w:pgNumType w:start="1"/>
      <w:footerReference xmlns:r="http://schemas.openxmlformats.org/officeDocument/2006/relationships" r:id="R3a3b7edb409741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504077751d4d20" /><Relationship Type="http://schemas.openxmlformats.org/officeDocument/2006/relationships/footer" Target="/word/footer1.xml" Id="R3a3b7edb40974128" /></Relationships>
</file>