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2f321ecba4763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1772</w:t>
      </w:r>
    </w:p>
    <w:p>
      <w:pPr>
        <w:jc w:val="center"/>
        <w:spacing w:before="720" w:after="0" w:line="240"/>
      </w:pPr>
      <w:r>
        <w:t>68th Legislature</w:t>
      </w:r>
    </w:p>
    <w:p>
      <w:pPr>
        <w:jc w:val="center"/>
        <w:spacing w:before="0" w:after="1440" w:line="240"/>
      </w:pPr>
      <w:r>
        <w:t>2023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28,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94</w:t>
            </w:r>
            <w:r>
              <w:t xml:space="preserve">  Nays </w:t>
              <w:t xml:space="preserve">3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12,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1772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1772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2023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Representatives Waters, Orwall, Christian, Sandlin, Cheney, McClintock, Farivar, Timmons, Leavitt, Senn, Rule, Schmidt, and Pollet</w:t>
      </w:r>
    </w:p>
    <w:p/>
    <w:p>
      <w:r>
        <w:rPr>
          <w:t xml:space="preserve">Read first time 02/06/23.  </w:t>
        </w:rPr>
      </w:r>
      <w:r>
        <w:rPr>
          <w:t xml:space="preserve">Referred to Committee on Regulated Substances &amp; Gaming.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prohibiting the manufacture, importation, and sale of products that combine alcohol and tetrahydrocannabinol; adding a new section to chapter 69.50 RCW; and adding a new section to chapter 66.28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69</w:t>
      </w:r>
      <w:r>
        <w:rPr/>
        <w:t xml:space="preserve">.</w:t>
      </w:r>
      <w:r>
        <w:t xml:space="preserve">50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It is unlawful to manufacture, import, offer, or sell in this state a consumable product that contains cannabis or any form of tetrahydrocannabinol in combination with beer, wine, spirits, or any other type of liquor in the same product.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66</w:t>
      </w:r>
      <w:r>
        <w:rPr/>
        <w:t xml:space="preserve">.</w:t>
      </w:r>
      <w:r>
        <w:t xml:space="preserve">28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In accordance with section 1 of this act, it is unlawful to manufacture, import, offer, or sell in this state a consumable product that contains cannabis or any form of tetrahydrocannabinol in combination with beer, wine, spirits, or any other type of liquor in the same product.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f9872459f004ae9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1772.PL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bde2218164fe2" /><Relationship Type="http://schemas.openxmlformats.org/officeDocument/2006/relationships/footer" Target="/word/footer1.xml" Id="R5f9872459f004ae9" /></Relationships>
</file>