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e0c8ba08c4b9f" /></Relationships>
</file>

<file path=word/document.xml><?xml version="1.0" encoding="utf-8"?>
<w:document xmlns:w="http://schemas.openxmlformats.org/wordprocessingml/2006/main">
  <w:body>
    <w:p>
      <w:r>
        <w:t>H-3041.1</w:t>
      </w:r>
    </w:p>
    <w:p>
      <w:pPr>
        <w:jc w:val="center"/>
      </w:pPr>
      <w:r>
        <w:t>_______________________________________________</w:t>
      </w:r>
    </w:p>
    <w:p/>
    <w:p>
      <w:pPr>
        <w:jc w:val="center"/>
      </w:pPr>
      <w:r>
        <w:rPr>
          <w:b/>
        </w:rPr>
        <w:t>SUBSTITUTE HOUSE BILL 2361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Riccelli, Macri, Nance, Reed, Simmons, and Ormsby)</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phasing in the requirement that only standardized health plans may be offered on the health benefit exchange; amending RCW 43.71.095; adding a new section to chapter 43.71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2021 c 246 s 7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the silver and gold standardized health plans established under this section on the exchange in each county where the carrier offers a qualified health plan. If a health carrier offers a bronze health plan on the exchange, it must offer the bronze standardized health plans established under this section on the exchange in each county where the carrier offers a qualified health plan.</w:t>
      </w:r>
    </w:p>
    <w:p>
      <w:pPr>
        <w:spacing w:before="0" w:after="0" w:line="408" w:lineRule="exact"/>
        <w:ind w:left="0" w:right="0" w:firstLine="576"/>
        <w:jc w:val="left"/>
      </w:pPr>
      <w:r>
        <w:rPr/>
        <w:t xml:space="preserve">(b)(i) Until December 31, </w:t>
      </w:r>
      <w:r>
        <w:t>((</w:t>
      </w:r>
      <w:r>
        <w:rPr>
          <w:strike/>
        </w:rPr>
        <w:t xml:space="preserve">2022, a health carrier offering a standardized health plan under this section may also offer nonstandardized health plans on the exchange. Beginning January 1, 2023,</w:t>
      </w:r>
      <w:r>
        <w:t>))</w:t>
      </w:r>
      <w:r>
        <w:rPr/>
        <w:t xml:space="preserve"> </w:t>
      </w:r>
      <w:r>
        <w:rPr>
          <w:u w:val="single"/>
        </w:rPr>
        <w:t xml:space="preserve">2025,</w:t>
      </w:r>
      <w:r>
        <w:rPr/>
        <w:t xml:space="preserve">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w:t>
      </w:r>
      <w:r>
        <w:t>((</w:t>
      </w:r>
      <w:r>
        <w:rPr>
          <w:strike/>
        </w:rPr>
        <w:t xml:space="preserve">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 including an analysis of offering a bronze standardized high deductible health plan compatible with a health savings account, and a gold standardized health plan closer in actuarial value to the silver standardized health plan.</w:t>
      </w:r>
      <w:r>
        <w:t>))</w:t>
      </w:r>
      <w:r>
        <w:rPr/>
        <w:t xml:space="preserve"> </w:t>
      </w:r>
      <w:r>
        <w:rPr>
          <w:u w:val="single"/>
        </w:rPr>
        <w:t xml:space="preserve">Beginning January 1, 2026, nonstandardized silver plans may not be offered on the exchange. A health carrier offering a standardized health plan under this section may continue to offer up to two nonstandardized gold health plans, two nonstandardized bronze health plans,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u w:val="single"/>
        </w:rPr>
        <w:t xml:space="preserve">(3) The exchange must annually review whether standardized health plans continue to maximize federal funding, ensure plan choice for individuals with health conditions, and respond to market conditions using the consultation process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shall evaluate the effects on exchange consumers and health carriers of prohibiting nonstandardized silver plans on the exchange and reexamine whether moving toward a standardized market could provide a better customer experience with minimal market disruption. If the exchange finds that moving toward a standardized market remains advisable, it shall recommend a plan to the legislature on how to standardize the exchange market using a phased approach. The plan must include any additional authority the exchange requires to develop standardized plans at other actuarial value levels. The exchange shall report its findings and recommendations to the appropriate committees of the legislature no later than December 1, 2028.</w:t>
      </w:r>
    </w:p>
    <w:p>
      <w:pPr>
        <w:spacing w:before="0" w:after="0" w:line="408" w:lineRule="exact"/>
        <w:ind w:left="0" w:right="0" w:firstLine="576"/>
        <w:jc w:val="left"/>
      </w:pPr>
      <w:r>
        <w:rPr/>
        <w:t xml:space="preserve">(2) This section expires January 1, 2029.</w:t>
      </w:r>
    </w:p>
    <w:p/>
    <w:p>
      <w:pPr>
        <w:jc w:val="center"/>
      </w:pPr>
      <w:r>
        <w:rPr>
          <w:b/>
        </w:rPr>
        <w:t>--- END ---</w:t>
      </w:r>
    </w:p>
    <w:sectPr>
      <w:pgNumType w:start="1"/>
      <w:footerReference xmlns:r="http://schemas.openxmlformats.org/officeDocument/2006/relationships" r:id="Rfc2a0535f23d4a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f5ef9939e4304" /><Relationship Type="http://schemas.openxmlformats.org/officeDocument/2006/relationships/footer" Target="/word/footer1.xml" Id="Rfc2a0535f23d4a3d" /></Relationships>
</file>