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f679b9b5442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2354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Street, Orcutt, Bronoske, Robertson, Chambers, Callan, Bateman, Doglio, and Reed)</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option for impacted taxing districts to provide a portion of their new revenue to support any tax increment area proposed within their jurisdiction and clarifying that a tax increment area must be dissolved when all bond obligations are paid; and amending RCW 39.114.010, 39.114.020, and 39.114.040.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2023 c 354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takes effect.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acquisition, including appurtenant rights and site preparation, construction, reconstruction, rehabilitation, improvement, expansion,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w:t>
      </w:r>
      <w:r>
        <w:t>((</w:t>
      </w:r>
      <w:r>
        <w:rPr>
          <w:strike/>
        </w:rPr>
        <w:t xml:space="preserve">and</w:t>
      </w:r>
      <w:r>
        <w:t>))</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r>
        <w:rPr>
          <w:u w:val="single"/>
        </w:rPr>
        <w:t xml:space="preserve">; and</w:t>
      </w:r>
    </w:p>
    <w:p>
      <w:pPr>
        <w:spacing w:before="0" w:after="0" w:line="408" w:lineRule="exact"/>
        <w:ind w:left="0" w:right="0" w:firstLine="576"/>
        <w:jc w:val="left"/>
      </w:pPr>
      <w:r>
        <w:rPr>
          <w:u w:val="single"/>
        </w:rPr>
        <w:t xml:space="preserve">(g) Funding for mitigation to impacted taxing districts as allowed in RCW 39.114.020</w:t>
      </w:r>
      <w:r>
        <w:rPr/>
        <w:t xml:space="preserve">.</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state or local government within or outside of and serving the increment area and real property owned or acquired by a local government within the increment area including:</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expansion,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w:t>
      </w:r>
    </w:p>
    <w:p>
      <w:pPr>
        <w:spacing w:before="0" w:after="0" w:line="408" w:lineRule="exact"/>
        <w:ind w:left="0" w:right="0" w:firstLine="576"/>
        <w:jc w:val="left"/>
      </w:pPr>
      <w:r>
        <w:rPr/>
        <w:t xml:space="preserve">(iv) Historic preservation activities authorized under RCW 35.21.395; or</w:t>
      </w:r>
    </w:p>
    <w:p>
      <w:pPr>
        <w:spacing w:before="0" w:after="0" w:line="408" w:lineRule="exact"/>
        <w:ind w:left="0" w:right="0" w:firstLine="576"/>
        <w:jc w:val="left"/>
      </w:pPr>
      <w:r>
        <w:rPr/>
        <w:t xml:space="preserve">(v) Relocation and construction of a government-owned facility, with written permission from the agency owning the facility and the office of financial management.</w:t>
      </w:r>
    </w:p>
    <w:p>
      <w:pPr>
        <w:spacing w:before="0" w:after="0" w:line="408" w:lineRule="exact"/>
        <w:ind w:left="0" w:right="0" w:firstLine="576"/>
        <w:jc w:val="left"/>
      </w:pPr>
      <w:r>
        <w:rPr/>
        <w:t xml:space="preserve">(8) "Real property" means:</w:t>
      </w:r>
    </w:p>
    <w:p>
      <w:pPr>
        <w:spacing w:before="0" w:after="0" w:line="408" w:lineRule="exact"/>
        <w:ind w:left="0" w:right="0" w:firstLine="576"/>
        <w:jc w:val="left"/>
      </w:pPr>
      <w:r>
        <w:rPr/>
        <w:t xml:space="preserve">(a) Real property as defined in RCW 84.04.090; and</w:t>
      </w:r>
    </w:p>
    <w:p>
      <w:pPr>
        <w:spacing w:before="0" w:after="0" w:line="408" w:lineRule="exact"/>
        <w:ind w:left="0" w:right="0" w:firstLine="576"/>
        <w:jc w:val="left"/>
      </w:pPr>
      <w:r>
        <w:rPr/>
        <w:t xml:space="preserve">(b) Privately owned or used improvements located on publicly owned land that are subject to property taxation or leasehold excise tax.</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(10) "Tax allocation base value" means the assessed value of real property located within an increment area for taxes imposed in the year in which the increment area takes effect.</w:t>
      </w:r>
    </w:p>
    <w:p>
      <w:pPr>
        <w:spacing w:before="0" w:after="0" w:line="408" w:lineRule="exact"/>
        <w:ind w:left="0" w:right="0" w:firstLine="576"/>
        <w:jc w:val="left"/>
      </w:pPr>
      <w:r>
        <w:rPr/>
        <w:t xml:space="preserve">(11) "Tax allocation revenues" means those revenues derived from the imposition of regular property taxes on the increment value.</w:t>
      </w:r>
    </w:p>
    <w:p>
      <w:pPr>
        <w:spacing w:before="0" w:after="0" w:line="408" w:lineRule="exact"/>
        <w:ind w:left="0" w:right="0" w:firstLine="576"/>
        <w:jc w:val="left"/>
      </w:pPr>
      <w:r>
        <w:rPr/>
        <w:t xml:space="preserve">(12)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2023 c 354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area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r>
        <w:rPr>
          <w:u w:val="single"/>
        </w:rPr>
        <w:t xml:space="preserve">, public hospital service, and emergency medical services</w:t>
      </w:r>
      <w:r>
        <w:rPr/>
        <w:t xml:space="preserv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w:t>
      </w:r>
      <w:r>
        <w:rPr>
          <w:u w:val="single"/>
        </w:rPr>
        <w:t xml:space="preserve">(a)</w:t>
      </w:r>
      <w:r>
        <w:rPr/>
        <w:t xml:space="preserve"> If the project analysis indicates that an increment area will impact at least 20 percent of the assessed value in a </w:t>
      </w:r>
      <w:r>
        <w:rPr>
          <w:u w:val="single"/>
        </w:rPr>
        <w:t xml:space="preserve">public hospital district,</w:t>
      </w:r>
      <w:r>
        <w:rPr/>
        <w:t xml:space="preserve"> fire protection district</w:t>
      </w:r>
      <w:r>
        <w:rPr>
          <w:u w:val="single"/>
        </w:rPr>
        <w:t xml:space="preserve">,</w:t>
      </w:r>
      <w:r>
        <w:rPr/>
        <w:t xml:space="preserve"> or regional fire protection service authority, </w:t>
      </w:r>
      <w:r>
        <w:rPr>
          <w:u w:val="single"/>
        </w:rPr>
        <w:t xml:space="preserve">or if the public hospital district's</w:t>
      </w:r>
      <w:r>
        <w:rPr/>
        <w:t xml:space="preserve"> or the fire service agency's annual report</w:t>
      </w:r>
      <w:r>
        <w:rPr>
          <w:u w:val="single"/>
        </w:rPr>
        <w:t xml:space="preserve">, or other governing board-adopted capital facilities plan,</w:t>
      </w:r>
      <w:r>
        <w:rPr/>
        <w:t xml:space="preserve"> demonstrates an increase in the level of service directly related to the </w:t>
      </w:r>
      <w:r>
        <w:rPr>
          <w:u w:val="single"/>
        </w:rPr>
        <w:t xml:space="preserve">increased development in the</w:t>
      </w:r>
      <w:r>
        <w:rPr/>
        <w:t xml:space="preserve"> increment area, the local government must </w:t>
      </w:r>
      <w:r>
        <w:t>((</w:t>
      </w:r>
      <w:r>
        <w:rPr>
          <w:strike/>
        </w:rPr>
        <w:t xml:space="preserve">negotiate</w:t>
      </w:r>
      <w:r>
        <w:t>))</w:t>
      </w:r>
      <w:r>
        <w:rPr/>
        <w:t xml:space="preserve"> </w:t>
      </w:r>
      <w:r>
        <w:rPr>
          <w:u w:val="single"/>
        </w:rPr>
        <w:t xml:space="preserve">enter into negotiations for</w:t>
      </w:r>
      <w:r>
        <w:rPr/>
        <w:t xml:space="preserve"> a mitigation plan with the </w:t>
      </w:r>
      <w:r>
        <w:rPr>
          <w:u w:val="single"/>
        </w:rPr>
        <w:t xml:space="preserve">impacted public hospital district,</w:t>
      </w:r>
      <w:r>
        <w:rPr/>
        <w:t xml:space="preserve"> fire protection district</w:t>
      </w:r>
      <w:r>
        <w:rPr>
          <w:u w:val="single"/>
        </w:rPr>
        <w:t xml:space="preserve">,</w:t>
      </w:r>
      <w:r>
        <w:rPr/>
        <w:t xml:space="preserve"> or regional fire protection service authority to address level of service issues in the increment area.</w:t>
      </w:r>
    </w:p>
    <w:p>
      <w:pPr>
        <w:spacing w:before="0" w:after="0" w:line="408" w:lineRule="exact"/>
        <w:ind w:left="0" w:right="0" w:firstLine="576"/>
        <w:jc w:val="left"/>
      </w:pPr>
      <w:r>
        <w:rPr>
          <w:u w:val="single"/>
        </w:rPr>
        <w:t xml:space="preserve">(b) If the parties cannot agree pursuant to (a) of this subsection (5), the parties must proceed to arbitration to determine the appropriate mitigation plan. The board of arbitrators must consist of three persons: One appointed by the local government seeking to designate the increment area and one appointed by the junior taxing district, both of whom must be appointed within 60 days of the date when arbitration is requested, and a third arbitrator who must be appointed by agreement of the other two arbitrators within 90 days of the date when arbitration is requested. If the two are unable to agree on the appointment of the third arbitrator within this 90-day period, then the third arbitrator must be appointed by a judge in the superior court of the county within which the largest portion of the increment area is located. The determination by the board of arbitrators is binding on both the local government seeking to impose the increment area and the junior taxing district.</w:t>
      </w:r>
    </w:p>
    <w:p>
      <w:pPr>
        <w:spacing w:before="0" w:after="0" w:line="408" w:lineRule="exact"/>
        <w:ind w:left="0" w:right="0" w:firstLine="576"/>
        <w:jc w:val="left"/>
      </w:pPr>
      <w:r>
        <w:rPr/>
        <w:t xml:space="preserve">(6) The local government may reimburse the assessor and treasurer for their costs as provided in RCW 39.114.010(6)(e).</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w:t>
      </w:r>
      <w:r>
        <w:rPr>
          <w:u w:val="single"/>
        </w:rPr>
        <w:t xml:space="preserve">, and must occur no earlier than 90 days after submitting the project analysis to the office of the treasurer and all local governments and taxing districts impacted by the increment area</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Submit the project analysis to all local governments and taxing districts impacted by the increment area no less than 90 days prior to the adoption of the ordinance; and</w:t>
      </w:r>
    </w:p>
    <w:p>
      <w:pPr>
        <w:spacing w:before="0" w:after="0" w:line="408" w:lineRule="exact"/>
        <w:ind w:left="0" w:right="0" w:firstLine="576"/>
        <w:jc w:val="left"/>
      </w:pPr>
      <w:r>
        <w:rPr>
          <w:u w:val="single"/>
        </w:rPr>
        <w:t xml:space="preserve">(c)</w:t>
      </w:r>
      <w:r>
        <w:rPr/>
        <w:t xml:space="preserve">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040</w:t>
      </w:r>
      <w:r>
        <w:rPr/>
        <w:t xml:space="preserve"> and 2023 c 354 s 3 are each amended to read as follows:</w:t>
      </w:r>
    </w:p>
    <w:p>
      <w:pPr>
        <w:spacing w:before="0" w:after="0" w:line="408" w:lineRule="exact"/>
        <w:ind w:left="0" w:right="0" w:firstLine="576"/>
        <w:jc w:val="left"/>
      </w:pPr>
      <w:r>
        <w:rPr/>
        <w:t xml:space="preserve">The local government designating the increment area must:</w:t>
      </w:r>
    </w:p>
    <w:p>
      <w:pPr>
        <w:spacing w:before="0" w:after="0" w:line="408" w:lineRule="exact"/>
        <w:ind w:left="0" w:right="0" w:firstLine="576"/>
        <w:jc w:val="left"/>
      </w:pPr>
      <w:r>
        <w:rPr/>
        <w:t xml:space="preserve">(1) </w:t>
      </w:r>
      <w:r>
        <w:rPr>
          <w:u w:val="single"/>
        </w:rPr>
        <w:t xml:space="preserve">Provide written notice to the governing body of each taxing district within which the increment area is located a minimum of 90 days before submitting the project analysis to the office of the treasurer as required in RCW 39.114.020(7)(c).</w:t>
      </w:r>
    </w:p>
    <w:p>
      <w:pPr>
        <w:spacing w:before="0" w:after="0" w:line="408" w:lineRule="exact"/>
        <w:ind w:left="0" w:right="0" w:firstLine="576"/>
        <w:jc w:val="left"/>
      </w:pPr>
      <w:r>
        <w:rPr>
          <w:u w:val="single"/>
        </w:rPr>
        <w:t xml:space="preserve">(2)</w:t>
      </w:r>
      <w:r>
        <w:rPr/>
        <w:t xml:space="preserve"> Publish notice in a legal newspaper of general circulation within the jurisdiction of the local government at least two weeks before the date on which the ordinance authorizing creation of an increment area is adopted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Deliver a certified copy of the adopted ordinance to the county treasurer, the county assessor, and the governing body of each taxing district within which the increment area is located at the respective addresses specified pursuant to RCW 42.56.040 within 10 days of the date on which the ordinance was adopted.</w:t>
      </w:r>
    </w:p>
    <w:p/>
    <w:p>
      <w:pPr>
        <w:jc w:val="center"/>
      </w:pPr>
      <w:r>
        <w:rPr>
          <w:b/>
        </w:rPr>
        <w:t>--- END ---</w:t>
      </w:r>
    </w:p>
    <w:sectPr>
      <w:pgNumType w:start="1"/>
      <w:footerReference xmlns:r="http://schemas.openxmlformats.org/officeDocument/2006/relationships" r:id="R4042b9e2c89344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ec6e2181347f9" /><Relationship Type="http://schemas.openxmlformats.org/officeDocument/2006/relationships/footer" Target="/word/footer1.xml" Id="R4042b9e2c89344b8" /></Relationships>
</file>