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d9a2182cb54cc8" /></Relationships>
</file>

<file path=word/document.xml><?xml version="1.0" encoding="utf-8"?>
<w:document xmlns:w="http://schemas.openxmlformats.org/wordprocessingml/2006/main">
  <w:body>
    <w:p>
      <w:r>
        <w:t>H-3175.1</w:t>
      </w:r>
    </w:p>
    <w:p>
      <w:pPr>
        <w:jc w:val="center"/>
      </w:pPr>
      <w:r>
        <w:t>_______________________________________________</w:t>
      </w:r>
    </w:p>
    <w:p/>
    <w:p>
      <w:pPr>
        <w:jc w:val="center"/>
      </w:pPr>
      <w:r>
        <w:rPr>
          <w:b/>
        </w:rPr>
        <w:t>SECOND SUBSTITUTE HOUSE BILL 2319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Davis, Macri, Mosbrucker, Griffey, Stearns, Fosse, Ramel, Simmons, Nance, Kloba, Farivar, Bateman, Reed, Ryu, Chopp, Ortiz-Self, Eslick, Jacobsen, Goodman, Alvarado, Peterson, Pollet, and Shavers)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substance use disorder treatment; amending RCW 71.24.037, 41.05.526, 48.43.761, 71.24.618, and 42.56.360; adding new sections to chapter 71.24 RCW; adding a new section to chapter 28B.20 RCW; adding a new section to chapter 41.05 RCW; adding a new section to chapter 48.43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ensuring that individuals with substance use disorders can enter into and complete residential addiction treatment is an important public policy objective. Substance use disorder providers forcing patients to leave treatment prematurely and insurance authorization barriers both present impediments to realizing this goal. </w:t>
      </w:r>
    </w:p>
    <w:p>
      <w:pPr>
        <w:spacing w:before="0" w:after="0" w:line="408" w:lineRule="exact"/>
        <w:ind w:left="0" w:right="0" w:firstLine="576"/>
        <w:jc w:val="left"/>
      </w:pPr>
      <w:r>
        <w:rPr/>
        <w:t xml:space="preserve">(2) The legislature further finds that patients with substance use disorders should be provided information regarding and access to the full panoply of treatment options for their condition, as would be the case with any other life-threatening disease. Pharmacotherapies are incredibly effective and severely underutilized tools in the treatment of opioid use disorder and alcohol use disorder. The federal food and drug administration has approved three medications for the treatment of opioid use disorder and three medications for the treatment of alcohol use disorder. Only 37 percent of individuals with opioid use disorder and nine percent of individuals with alcohol use disorder receive medication to treat their condition.</w:t>
      </w:r>
    </w:p>
    <w:p>
      <w:pPr>
        <w:spacing w:before="0" w:after="0" w:line="408" w:lineRule="exact"/>
        <w:ind w:left="0" w:right="0" w:firstLine="576"/>
        <w:jc w:val="left"/>
      </w:pPr>
      <w:r>
        <w:rPr/>
        <w:t xml:space="preserve">(3) Therefore, it is the intent of the legislature to reduce forced patient discharges from residential addiction treatment, to remove arbitrary insurance authorization barriers to residential addiction treatment, and to ensure that patients with opioid use disorder and alcohol use disorder receive access to care that is consistent with clinical best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October 1, 2024, each licensed or certified behavioral health agency providing voluntary inpatient or residential substance use disorder treatment services or withdrawal management services shall submit to the department any policies that the agency maintains regarding the transfer or discharge of a person without the person's consent from a facility providing those services. The policies that agencies must submit include any policies related to situations in which the agency transfers or discharges a person without the person's consent, therapeutic progressive disciplinary processes that the agency maintains, and procedures to assure safe transfers and discharges when a patient is discharged without the patient's consent.</w:t>
      </w:r>
    </w:p>
    <w:p>
      <w:pPr>
        <w:spacing w:before="0" w:after="0" w:line="408" w:lineRule="exact"/>
        <w:ind w:left="0" w:right="0" w:firstLine="576"/>
        <w:jc w:val="left"/>
      </w:pPr>
      <w:r>
        <w:rPr/>
        <w:t xml:space="preserve">(b) By April 1, 2025, the department shall adopt a model policy for licensed or certified behavioral health agencies providing voluntary inpatient or residential substance use disorder treatment services or withdrawal management services to consider when adopting policies related to the transfer or discharge of a person without the person's consent from a facility providing those services. In developing the model policy, the department shall consider the policies submitted by agencies under (a) of this subsection and establish factors to be used in making a decision to transfer or discharge a person without the person's consent. Factors may include, but are not limited to, the person's medical condition, the clinical determination that the person no longer requires treatment or withdrawal management services at the facility, the risk of physical injury presented by the person to the person's self or to other persons at the facility, the extent to which the person's behavior risks the recovery goals of other persons at the facility, and the extent to which the agency has applied a therapeutic progressive disciplinary process. The model policy must include provisions addressing the use of an appropriate therapeutic progressive disciplinary process and procedures to assure safe transfers and discharges of a patient who is discharged without the patient's consent.</w:t>
      </w:r>
    </w:p>
    <w:p>
      <w:pPr>
        <w:spacing w:before="0" w:after="0" w:line="408" w:lineRule="exact"/>
        <w:ind w:left="0" w:right="0" w:firstLine="576"/>
        <w:jc w:val="left"/>
      </w:pPr>
      <w:r>
        <w:rPr/>
        <w:t xml:space="preserve">(2)(a) Beginning July 1, 2025, every licensed or certified behavioral health agency providing voluntary inpatient or residential substance use disorder treatment services or withdrawal management services shall submit a report to the department for each instance in which a person receiving services either: (i) Was transferred or discharged from the facility by the agency without the person's consent; or (ii) released the person's self from the facility prior to a clinical determination that the person had completed treatment.</w:t>
      </w:r>
    </w:p>
    <w:p>
      <w:pPr>
        <w:spacing w:before="0" w:after="0" w:line="408" w:lineRule="exact"/>
        <w:ind w:left="0" w:right="0" w:firstLine="576"/>
        <w:jc w:val="left"/>
      </w:pPr>
      <w:r>
        <w:rPr/>
        <w:t xml:space="preserve">(b) The department shall adopt rules to implement the reporting requirement under (a) of this subsection, using a standard form. The rules must require that the agency provide a description of the circumstances related to the person's departure from the facility, including whether the departure was voluntary or involuntary, the extent to which a therapeutic progressive disciplinary process was applied, the patient's self-reported understanding of the reasons for discharge, efforts that were made to avert the discharge, and efforts that were made to establish a safe discharge plan prior to the patient leaving the facility.</w:t>
      </w:r>
    </w:p>
    <w:p>
      <w:pPr>
        <w:spacing w:before="0" w:after="0" w:line="408" w:lineRule="exact"/>
        <w:ind w:left="0" w:right="0" w:firstLine="576"/>
        <w:jc w:val="left"/>
      </w:pPr>
      <w:r>
        <w:rPr/>
        <w:t xml:space="preserve">(3) Patient health care information contained in reports submitted under subsection (2) of this section is exempt from disclosure under RCW 42.56.360.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addictions, drug, and alcohol institute at the University of Washington shall create a patient shared decision-making tool to assist behavioral health providers when discussing medication treatment options for patients with alcohol use disorder. The institute shall distribute the tool to behavioral health providers and instruct them on ways to incorporate the use of the tool into their practices. The institute shall conduct regular evaluations of the tool and update the tool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2023 c 454 s 2 are each amended to read as follows:</w:t>
      </w:r>
    </w:p>
    <w:p>
      <w:pPr>
        <w:spacing w:before="0" w:after="0" w:line="408" w:lineRule="exact"/>
        <w:ind w:left="0" w:right="0" w:firstLine="576"/>
        <w:jc w:val="left"/>
      </w:pPr>
      <w:r>
        <w:rPr/>
        <w:t xml:space="preserve">(1) The secretary shall license or certify any agency or facility that: (a) Submits payment of the fee established under RCW 43.70.110 and 43.70.250; (b) submits a complete application that demonstrates the ability to comply with requirements for operating and maintaining an agency or facility in statute or rule; and (c) successfully completes the prelicensure inspection requirement.</w:t>
      </w:r>
    </w:p>
    <w:p>
      <w:pPr>
        <w:spacing w:before="0" w:after="0" w:line="408" w:lineRule="exact"/>
        <w:ind w:left="0" w:right="0" w:firstLine="576"/>
        <w:jc w:val="left"/>
      </w:pPr>
      <w:r>
        <w:rPr/>
        <w:t xml:space="preserve">(2) The secretary shall establish by rule minimum standards for licensed or certified behavioral health agencies that must, at a minimum, establish: (a) Qualifications for staff providing services directly to persons with mental disorders, substance use disorders, or both; (b) the intended result of each service; and (c) the rights and responsibilities of persons receiving behavioral health services pursuant to this chapter and chapter 71.05 RCW. The secretary shall provide for deeming of licensed or certified behavioral health agencies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t xml:space="preserve">(5)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(6) No licensed or certified behavioral health agency may advertise or represent itself as a licensed or certified behavioral health agency if approval has not been granted or has been denied, suspended, revoked, or canceled.</w:t>
      </w:r>
    </w:p>
    <w:p>
      <w:pPr>
        <w:spacing w:before="0" w:after="0" w:line="408" w:lineRule="exact"/>
        <w:ind w:left="0" w:right="0" w:firstLine="576"/>
        <w:jc w:val="left"/>
      </w:pPr>
      <w:r>
        <w:rPr/>
        <w:t xml:space="preserve">(7) Licensure or certification as a behavioral health agency is effective for one calendar year from the date of issuance of the license or certification. The license or certification must specify the types of services provided by the behavioral health agency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Licensure or certification as a licensed or certified behavioral health agency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(9) 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t xml:space="preserve">(10) Licensed or certified behavioral health agencies may not provide types of services for which the licensed or certified behavioral health agency has not been certified. Licensed or certified behavioral health agencies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(11) The department periodically shall inspect licensed or certified behavioral health agencies at reasonable times and in a reasonable manner.</w:t>
      </w:r>
    </w:p>
    <w:p>
      <w:pPr>
        <w:spacing w:before="0" w:after="0" w:line="408" w:lineRule="exact"/>
        <w:ind w:left="0" w:right="0" w:firstLine="576"/>
        <w:jc w:val="left"/>
      </w:pPr>
      <w:r>
        <w:rPr/>
        <w:t xml:space="preserve">(12)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agency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(13) The department shall maintain and periodically publish a current list of licensed or certified behavioral health agencies.</w:t>
      </w:r>
    </w:p>
    <w:p>
      <w:pPr>
        <w:spacing w:before="0" w:after="0" w:line="408" w:lineRule="exact"/>
        <w:ind w:left="0" w:right="0" w:firstLine="576"/>
        <w:jc w:val="left"/>
      </w:pPr>
      <w:r>
        <w:rPr/>
        <w:t xml:space="preserve">(14) Each licensed or certified behavioral health agency shall file with the department or the authority upon request, data, statistics, schedules, and information the department or the authority reasonably requires. A licensed or certified behavioral health agency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t xml:space="preserve">(15) The authority shall use the data provided in subsection (14)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(16) Any settlement agreement entered into between the department and licensed or certified behavioral health agencies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agency did not commit one or more of the violations.</w:t>
      </w:r>
    </w:p>
    <w:p>
      <w:pPr>
        <w:spacing w:before="0" w:after="0" w:line="408" w:lineRule="exact"/>
        <w:ind w:left="0" w:right="0" w:firstLine="576"/>
        <w:jc w:val="left"/>
      </w:pPr>
      <w:r>
        <w:rPr/>
        <w:t xml:space="preserve">(17) In cases in which a behavioral health agency that is in violation of licensing or certification standards attempts to transfer or sell the behavioral health agency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agency to a family member solely for the purpose of resetting the number of violations found before the transfer or sale, the department may not renew the behavioral health agency's license or certification or issue a new license or certification to the behavioral health service provider.</w:t>
      </w:r>
    </w:p>
    <w:p>
      <w:pPr>
        <w:spacing w:before="0" w:after="0" w:line="408" w:lineRule="exact"/>
        <w:ind w:left="0" w:right="0" w:firstLine="576"/>
        <w:jc w:val="left"/>
      </w:pPr>
      <w:r>
        <w:rPr/>
        <w:t xml:space="preserve">(18) Every licensed or certified outpatient behavioral health agency shall display the 988 crisis hotline number in common areas of the premises and include the number as a calling option on any phone message for persons calling the agency after business hours.</w:t>
      </w:r>
    </w:p>
    <w:p>
      <w:pPr>
        <w:spacing w:before="0" w:after="0" w:line="408" w:lineRule="exact"/>
        <w:ind w:left="0" w:right="0" w:firstLine="576"/>
        <w:jc w:val="left"/>
      </w:pPr>
      <w:r>
        <w:rPr/>
        <w:t xml:space="preserve">(19) Every licensed or certified inpatient or residential behavioral health agency must include the 988 crisis hotline number in the discharge summary provided to individuals being discharged from inpatient or residential services.</w:t>
      </w:r>
    </w:p>
    <w:p>
      <w:pPr>
        <w:spacing w:before="0" w:after="0" w:line="408" w:lineRule="exact"/>
        <w:ind w:left="0" w:right="0" w:firstLine="576"/>
        <w:jc w:val="left"/>
      </w:pPr>
      <w:r>
        <w:rPr>
          <w:u w:val="single"/>
        </w:rPr>
        <w:t xml:space="preserve">(20)(a) Licensed or certified behavioral health agencies providing voluntary inpatient or residential substance use disorder treatment services or withdrawal management services:</w:t>
      </w:r>
    </w:p>
    <w:p>
      <w:pPr>
        <w:spacing w:before="0" w:after="0" w:line="408" w:lineRule="exact"/>
        <w:ind w:left="0" w:right="0" w:firstLine="576"/>
        <w:jc w:val="left"/>
      </w:pPr>
      <w:r>
        <w:rPr>
          <w:u w:val="single"/>
        </w:rPr>
        <w:t xml:space="preserve">(i) Must comply with the policy submission and mandatory reporting requirements established in section 2 of this act; and</w:t>
      </w:r>
    </w:p>
    <w:p>
      <w:pPr>
        <w:spacing w:before="0" w:after="0" w:line="408" w:lineRule="exact"/>
        <w:ind w:left="0" w:right="0" w:firstLine="576"/>
        <w:jc w:val="left"/>
      </w:pPr>
      <w:r>
        <w:rPr>
          <w:u w:val="single"/>
        </w:rPr>
        <w:t xml:space="preserve">(ii) May not prohibit a person from receiving services at or being admitted to the agency based solely on prior instances of the person releasing the person's self from the facility prior to a clinical determination that the person had completed treatment.</w:t>
      </w:r>
    </w:p>
    <w:p>
      <w:pPr>
        <w:spacing w:before="0" w:after="0" w:line="408" w:lineRule="exact"/>
        <w:ind w:left="0" w:right="0" w:firstLine="576"/>
        <w:jc w:val="left"/>
      </w:pPr>
      <w:r>
        <w:rPr>
          <w:u w:val="single"/>
        </w:rPr>
        <w:t xml:space="preserve">(b) This subsection (20) does not apply to hospitals licensed under chapter 70.41 RCW and psychiatric hospitals licensed under chapter 71.12 RCW.</w:t>
      </w:r>
    </w:p>
    <w:p>
      <w:pPr>
        <w:spacing w:before="0" w:after="0" w:line="408" w:lineRule="exact"/>
        <w:ind w:left="0" w:right="0" w:firstLine="576"/>
        <w:jc w:val="left"/>
      </w:pPr>
      <w:r>
        <w:rPr>
          <w:u w:val="single"/>
        </w:rPr>
        <w:t xml:space="preserve">(21)(a) A licensed or certified behavioral health agency shall provide each patient seeking treatment for opioid use disorder or alcohol use disorder, whether receiving inpatient or outpatient treatment, with education related to treatment options specific to the patient's diagnosed condition of either opioid use disorder or alcohol use disorder. The education must include an unbiased explanation of all recognized forms of treatment approved by the federal food and drug administration, as required under RCW 7.70.050 and 7.70.060, including any available pharmacological treatments for the patient's diagnosed opioid use disorder or alcohol use disorder. In addition, the behavioral health agency shall support the patient with the implementation of the patient's chosen course of treatment in a manner that meets clinically accepted standards, including facilitating any appropriate pharmacological treatments.</w:t>
      </w:r>
    </w:p>
    <w:p>
      <w:pPr>
        <w:spacing w:before="0" w:after="0" w:line="408" w:lineRule="exact"/>
        <w:ind w:left="0" w:right="0" w:firstLine="576"/>
        <w:jc w:val="left"/>
      </w:pPr>
      <w:r>
        <w:rPr>
          <w:u w:val="single"/>
        </w:rPr>
        <w:t xml:space="preserve">(b) Unless it meets the requirements of (a) of this subsection, a behavioral health agency may not:</w:t>
      </w:r>
    </w:p>
    <w:p>
      <w:pPr>
        <w:spacing w:before="0" w:after="0" w:line="408" w:lineRule="exact"/>
        <w:ind w:left="0" w:right="0" w:firstLine="576"/>
        <w:jc w:val="left"/>
      </w:pPr>
      <w:r>
        <w:rPr>
          <w:u w:val="single"/>
        </w:rPr>
        <w:t xml:space="preserve">(i) Advertise that it treats opioid use disorder or alcohol use disorder; or</w:t>
      </w:r>
    </w:p>
    <w:p>
      <w:pPr>
        <w:spacing w:before="0" w:after="0" w:line="408" w:lineRule="exact"/>
        <w:ind w:left="0" w:right="0" w:firstLine="576"/>
        <w:jc w:val="left"/>
      </w:pPr>
      <w:r>
        <w:rPr>
          <w:u w:val="single"/>
        </w:rPr>
        <w:t xml:space="preserve">(ii) Treat patients for opioid use disorder or alcohol use disorder, regardless of the form of treatment that the patient chooses.</w:t>
      </w:r>
    </w:p>
    <w:p>
      <w:pPr>
        <w:spacing w:before="0" w:after="0" w:line="408" w:lineRule="exact"/>
        <w:ind w:left="0" w:right="0" w:firstLine="576"/>
        <w:jc w:val="left"/>
      </w:pPr>
      <w:r>
        <w:rPr>
          <w:u w:val="single"/>
        </w:rPr>
        <w:t xml:space="preserve">(c)(i) Failure to meet the education requirements of (a) of this subsection may be an element of proof in demonstrating a breach of the duty to secure an informed consent under RCW 7.70.050.</w:t>
      </w:r>
    </w:p>
    <w:p>
      <w:pPr>
        <w:spacing w:before="0" w:after="0" w:line="408" w:lineRule="exact"/>
        <w:ind w:left="0" w:right="0" w:firstLine="576"/>
        <w:jc w:val="left"/>
      </w:pPr>
      <w:r>
        <w:rPr>
          <w:u w:val="single"/>
        </w:rPr>
        <w:t xml:space="preserve">(ii) Failure to meet the education and facilitation requirements of (a) of this subsection may be the basis of a disciplinary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If a behavioral health provider or licensed or certified behavioral health agency that provides withdrawal management services to a patient seeks to discontinue usage or reduce dosage amounts of a medication, including a psychotropic medication, that the patient has been using in accordance with the directions of a prescribing health care provider, the withdrawal management provider shall consult the prescribing health care provider and engage in individualized, patient-centered, shared decision making, using nonjudgmental and compassionate communication. A withdrawal management provider may not, by philosophy or practice, categorically require all patients to discontinue all psychotropic medications, including benzodiazepines and medications for attention deficit hyperactivity disorder.</w:t>
      </w:r>
    </w:p>
    <w:p>
      <w:pPr>
        <w:spacing w:before="0" w:after="0" w:line="408" w:lineRule="exact"/>
        <w:ind w:left="0" w:right="0" w:firstLine="576"/>
        <w:jc w:val="left"/>
      </w:pPr>
      <w:r>
        <w:rPr/>
        <w:t xml:space="preserve">(2) This section does not apply to hospitals licensed under chapter 70.41 RCW and psychiatric hospitals licensed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526</w:t>
      </w:r>
      <w:r>
        <w:rPr/>
        <w:t xml:space="preserve"> and 2020 c 345 s 2 are each amended to read as follows:</w:t>
      </w:r>
    </w:p>
    <w:p>
      <w:pPr>
        <w:spacing w:before="0" w:after="0" w:line="408" w:lineRule="exact"/>
        <w:ind w:left="0" w:right="0" w:firstLine="576"/>
        <w:jc w:val="left"/>
      </w:pPr>
      <w:r>
        <w:rPr/>
        <w:t xml:space="preserve">(1) Except as provided in subsection (2) of this section, a health plan offered to employees and their covered dependents under this chapter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offered to employees and their covered dependents under this chapter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health plan may not require an enrollee to obtain prior authorization for the services specified in (a) of this subsection as a condition for payment of services prior to the times specified in (a) of this subsection. </w:t>
      </w:r>
      <w:r>
        <w:t>((</w:t>
      </w:r>
      <w:r>
        <w:rPr>
          <w:strike/>
        </w:rPr>
        <w:t xml:space="preserve">Once</w:t>
      </w:r>
      <w:r>
        <w:t>))</w:t>
      </w:r>
    </w:p>
    <w:p>
      <w:pPr>
        <w:spacing w:before="0" w:after="0" w:line="408" w:lineRule="exact"/>
        <w:ind w:left="0" w:right="0" w:firstLine="576"/>
        <w:jc w:val="left"/>
      </w:pPr>
      <w:r>
        <w:rPr>
          <w:u w:val="single"/>
        </w:rPr>
        <w:t xml:space="preserve">(ii)(A) Except as provided in (b)(ii)(B) of this subsection, once</w:t>
      </w:r>
      <w:r>
        <w:rPr/>
        <w:t xml:space="preserv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u w:val="single"/>
        </w:rPr>
        <w:t xml:space="preserve">(B)(I) For a health plan issued or renewed on or after January 1, 2025, for inpatient or residential substance use disorder treatment services, after the times specified in (a) of this subsection have passed, if a health plan authorizes services pursuant to the initial medical necessity review process permitted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p>
      <w:pPr>
        <w:spacing w:before="0" w:after="0" w:line="408" w:lineRule="exact"/>
        <w:ind w:left="0" w:right="0" w:firstLine="576"/>
        <w:jc w:val="left"/>
      </w:pPr>
      <w:r>
        <w:rPr>
          <w:u w:val="single"/>
        </w:rPr>
        <w:t xml:space="preserve">(II) Nothing in (b)(ii)(B)(I) of this subsection (2) prohibits a health plan from requesting information to assist with a transfer as permitted under this subsection (2)(b)(ii).</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health plan may not make a determination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761</w:t>
      </w:r>
      <w:r>
        <w:rPr/>
        <w:t xml:space="preserve"> and 2020 c 345 s 3 are each amended to read as follows:</w:t>
      </w:r>
    </w:p>
    <w:p>
      <w:pPr>
        <w:spacing w:before="0" w:after="0" w:line="408" w:lineRule="exact"/>
        <w:ind w:left="0" w:right="0" w:firstLine="576"/>
        <w:jc w:val="left"/>
      </w:pPr>
      <w:r>
        <w:rPr/>
        <w:t xml:space="preserve">(1) Except as provided in subsection (2) of this section, a health plan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health plan may not require an enrollee to obtain prior authorization for the services specified in (a) of this subsection as a condition for payment of services prior to the times specified in (a) of this subsection. </w:t>
      </w:r>
      <w:r>
        <w:t>((</w:t>
      </w:r>
      <w:r>
        <w:rPr>
          <w:strike/>
        </w:rPr>
        <w:t xml:space="preserve">Once</w:t>
      </w:r>
      <w:r>
        <w:t>))</w:t>
      </w:r>
    </w:p>
    <w:p>
      <w:pPr>
        <w:spacing w:before="0" w:after="0" w:line="408" w:lineRule="exact"/>
        <w:ind w:left="0" w:right="0" w:firstLine="576"/>
        <w:jc w:val="left"/>
      </w:pPr>
      <w:r>
        <w:rPr>
          <w:u w:val="single"/>
        </w:rPr>
        <w:t xml:space="preserve">(ii)(A) Except as provided in (b)(ii)(B) of this subsection, once</w:t>
      </w:r>
      <w:r>
        <w:rPr/>
        <w:t xml:space="preserv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u w:val="single"/>
        </w:rPr>
        <w:t xml:space="preserve">(B)(I) For a health plan issued or renewed on or after January 1, 2025, for inpatient or residential substance use disorder treatment services, after the times specified in (a) of this subsection have passed, if a health plan authorizes services pursuant to the initial medical necessity review process permitted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p>
      <w:pPr>
        <w:spacing w:before="0" w:after="0" w:line="408" w:lineRule="exact"/>
        <w:ind w:left="0" w:right="0" w:firstLine="576"/>
        <w:jc w:val="left"/>
      </w:pPr>
      <w:r>
        <w:rPr>
          <w:u w:val="single"/>
        </w:rPr>
        <w:t xml:space="preserve">(II) Nothing in (b)(ii)(B)(I) of this subsection (2) prohibits a health plan from requesting information to assist with a transfer as permitted under this subsection (2)(b)(ii).</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health plan may not make a determination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618</w:t>
      </w:r>
      <w:r>
        <w:rPr/>
        <w:t xml:space="preserve"> and 2020 c 345 s 4 are each amended to read as follows:</w:t>
      </w:r>
    </w:p>
    <w:p>
      <w:pPr>
        <w:spacing w:before="0" w:after="0" w:line="408" w:lineRule="exact"/>
        <w:ind w:left="0" w:right="0" w:firstLine="576"/>
        <w:jc w:val="left"/>
      </w:pPr>
      <w:r>
        <w:rPr/>
        <w:t xml:space="preserve">(1) Beginning January 1, 2021, a managed care organization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Beginning January 1, 2021, a managed care organization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managed care organization may not require an enrollee to obtain prior authorization for the services specified in (a) of this subsection as a condition for payment of services prior to the times specified in (a) of this subsection. </w:t>
      </w:r>
      <w:r>
        <w:t>((</w:t>
      </w:r>
      <w:r>
        <w:rPr>
          <w:strike/>
        </w:rPr>
        <w:t xml:space="preserve">Once</w:t>
      </w:r>
      <w:r>
        <w:t>))</w:t>
      </w:r>
    </w:p>
    <w:p>
      <w:pPr>
        <w:spacing w:before="0" w:after="0" w:line="408" w:lineRule="exact"/>
        <w:ind w:left="0" w:right="0" w:firstLine="576"/>
        <w:jc w:val="left"/>
      </w:pPr>
      <w:r>
        <w:rPr>
          <w:u w:val="single"/>
        </w:rPr>
        <w:t xml:space="preserve">(ii)(A) Except as provided in (b)(ii)(B) of this subsection, once</w:t>
      </w:r>
      <w:r>
        <w:rPr/>
        <w:t xml:space="preserve"> the times specified in (a) of this subsection have passed, the managed care organization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u w:val="single"/>
        </w:rPr>
        <w:t xml:space="preserve">(B)(I) Beginning January 1, 2025, for inpatient or residential substance use disorder treatment services, after the times specified in (a) of this subsection have passed, if a managed care organization authorizes services pursuant to the initial medical necessity review process permitted under (c)(iii) of this subsection, the length of the initial authorization may not be less than 14 days from the date that the patient was admitted to the behavioral health agency. Any subsequent reauthorization that the managed care organization approves after the first 14 days must continue for no less than seven days prior to requiring further reauthorization.</w:t>
      </w:r>
    </w:p>
    <w:p>
      <w:pPr>
        <w:spacing w:before="0" w:after="0" w:line="408" w:lineRule="exact"/>
        <w:ind w:left="0" w:right="0" w:firstLine="576"/>
        <w:jc w:val="left"/>
      </w:pPr>
      <w:r>
        <w:rPr>
          <w:u w:val="single"/>
        </w:rPr>
        <w:t xml:space="preserve">(II) Nothing in (b)(ii)(B)(I) of this subsection (2) prohibits a managed care organization from requesting information to assist with a transfer as permitted under this subsection (2)(b)(ii).</w:t>
      </w:r>
    </w:p>
    <w:p>
      <w:pPr>
        <w:spacing w:before="0" w:after="0" w:line="408" w:lineRule="exact"/>
        <w:ind w:left="0" w:right="0" w:firstLine="576"/>
        <w:jc w:val="left"/>
      </w:pPr>
      <w:r>
        <w:rPr/>
        <w:t xml:space="preserve">(c)(i) The behavioral health agency under (a) of this subsection must notify an enrollee's managed care organization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managed care organization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managed care organization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managed care organization may not make a determination that a patient does not meet medical necessity criteria based primarily on the patient's length of abstinence. If the patient's abstinence from substance use was due to incarceration or hospitalization, a managed care organization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managed care organization's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managed care organization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managed care organization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Beginning January 1, 2025, for inpatient or residential substance use disorder treatment services, the managed care organization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managed care organization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managed care organization involves transfer of the enrollee to a different facility or to a lower level of care, the care coordination unit of the managed care organization shall work with the current agency to make arrangements for a seamless transfer as soon as possible to an appropriate and available facility or level of care. The managed care organization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managed care organization's network is not available, the managed care organization shall pay the current agency at the service level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insurance commissioner shall convene a work group consisting of commercial health carriers, medicaid managed care organizations, and behavioral health agencies that provide inpatient or residential substance use disorder treatment services. The work group shall develop recommendations for streamlining commercial health carrier and medicaid managed care organization requirements and processes related to the authorization and reauthorization of inpatient or residential substance use disorder treatment. The recommendations must include a universal format accepted by all health carriers and medicaid managed care organizations for behavioral health agencies to use for service authorization and reauthorization requests with common data requirements and a standardized form and simplified electronic process. The insurance commissioner shall submit the recommendations of the work group to the appropriate policy committees of the legislature by December 1, 2024.</w:t>
      </w:r>
    </w:p>
    <w:p>
      <w:pPr>
        <w:spacing w:before="0" w:after="0" w:line="408" w:lineRule="exact"/>
        <w:ind w:left="0" w:right="0" w:firstLine="576"/>
        <w:jc w:val="left"/>
      </w:pPr>
      <w:r>
        <w:rPr/>
        <w:t xml:space="preserve">(2) This section expires June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2023 sp.s. c 1 s 23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w:t>
      </w:r>
    </w:p>
    <w:p>
      <w:pPr>
        <w:spacing w:before="0" w:after="0" w:line="408" w:lineRule="exact"/>
        <w:ind w:left="0" w:right="0" w:firstLine="576"/>
        <w:jc w:val="left"/>
      </w:pPr>
      <w:r>
        <w:rPr/>
        <w:t xml:space="preserve">(k) Data and information exempt from disclosure under RCW 43.371.040;</w:t>
      </w:r>
    </w:p>
    <w:p>
      <w:pPr>
        <w:spacing w:before="0" w:after="0" w:line="408" w:lineRule="exact"/>
        <w:ind w:left="0" w:right="0" w:firstLine="576"/>
        <w:jc w:val="left"/>
      </w:pPr>
      <w:r>
        <w:rPr/>
        <w:t xml:space="preserve">(l) Medical information contained in files and records of members of retirement plans administered by the department of retirement systems or the law enforcement officers' and firefighters' plan 2 retirement board, as provided to the department of retirement systems under RCW 41.04.830; and</w:t>
      </w:r>
    </w:p>
    <w:p>
      <w:pPr>
        <w:spacing w:before="0" w:after="0" w:line="408" w:lineRule="exact"/>
        <w:ind w:left="0" w:right="0" w:firstLine="576"/>
        <w:jc w:val="left"/>
      </w:pPr>
      <w:r>
        <w:rPr/>
        <w:t xml:space="preserve">(m) Data submitted to the data integration platform under RCW 71.24.908.</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t xml:space="preserve">(4) Information and documents related to maternal mortality reviews conducted pursuant to RCW 70.54.450 are confidential and exempt from public inspection and copying.</w:t>
      </w:r>
    </w:p>
    <w:p>
      <w:pPr>
        <w:spacing w:before="0" w:after="0" w:line="408" w:lineRule="exact"/>
        <w:ind w:left="0" w:right="0" w:firstLine="576"/>
        <w:jc w:val="left"/>
      </w:pPr>
      <w:r>
        <w:rPr>
          <w:u w:val="single"/>
        </w:rPr>
        <w:t xml:space="preserve">(5) Patient health care information contained in reports submitted under section 2(2) of this act are confidential and exempt from public inspection.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a4fd1b865ecd4e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87afa7fd0143a0" /><Relationship Type="http://schemas.openxmlformats.org/officeDocument/2006/relationships/footer" Target="/word/footer1.xml" Id="Ra4fd1b865ecd4e59" /></Relationships>
</file>