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50f50cd654fed" /></Relationships>
</file>

<file path=word/document.xml><?xml version="1.0" encoding="utf-8"?>
<w:document xmlns:w="http://schemas.openxmlformats.org/wordprocessingml/2006/main">
  <w:body>
    <w:p>
      <w:r>
        <w:t>H-2353.2</w:t>
      </w:r>
    </w:p>
    <w:p>
      <w:pPr>
        <w:jc w:val="center"/>
      </w:pPr>
      <w:r>
        <w:t>_______________________________________________</w:t>
      </w:r>
    </w:p>
    <w:p/>
    <w:p>
      <w:pPr>
        <w:jc w:val="center"/>
      </w:pPr>
      <w:r>
        <w:rPr>
          <w:b/>
        </w:rPr>
        <w:t>HOUSE BILL 2259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and Caldier</w:t>
      </w:r>
    </w:p>
    <w:p/>
    <w:p>
      <w:r>
        <w:rPr>
          <w:t xml:space="preserve">Read first time 01/10/24.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threats of harm to children by modifying the child removal standard related to another person's use or possession of a high potency synthetic opioid, modifying home visiting programs, and modifying the risk assessment process for at-risk families; amending RCW 13.34.130, 26.44.030, 43.216.130, 43.216.157, and 43.216.159; reenacting and amending RCW 13.34.030 and 13.34.065;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since 2018 there has been a significant increase in the number of child fatalities and near fatalities involving fentanyl within 12 months of the family's involvement in the child welfare system in Washington. According to the office of the family and children's ombuds, the majority of these fatalities and near fatalities involving fentanyl included accidental ingestion by children 11 years of age or younger or accidental overdoses of youth aged 11 to 20 years while using substances.</w:t>
      </w:r>
    </w:p>
    <w:p>
      <w:pPr>
        <w:spacing w:before="0" w:after="0" w:line="408" w:lineRule="exact"/>
        <w:ind w:left="0" w:right="0" w:firstLine="576"/>
        <w:jc w:val="left"/>
      </w:pPr>
      <w:r>
        <w:rPr/>
        <w:t xml:space="preserve">(2) The legislature finds that fentanyl is a high potency synthetic opioid. When illegally made or unprescribed, high potency synthetic opioids, such as fentanyl, are highly addictive and very dangerous.</w:t>
      </w:r>
    </w:p>
    <w:p>
      <w:pPr>
        <w:spacing w:before="0" w:after="0" w:line="408" w:lineRule="exact"/>
        <w:ind w:left="0" w:right="0" w:firstLine="576"/>
        <w:jc w:val="left"/>
      </w:pPr>
      <w:r>
        <w:rPr/>
        <w:t xml:space="preserve">(3) The legislature finds that a substance use disorder is a medical condition. Many individuals have multiple substance use disorders, as well as histories of trauma, developmental disabilities, or mental health conditions. Individuals experiencing opioid use disorder need access to effective treatment, including medications and psychosocial counseling. Individuals with substance use disorders deserve compassion and not blame for their illness.</w:t>
      </w:r>
    </w:p>
    <w:p>
      <w:pPr>
        <w:spacing w:before="0" w:after="0" w:line="408" w:lineRule="exact"/>
        <w:ind w:left="0" w:right="0" w:firstLine="576"/>
        <w:jc w:val="left"/>
      </w:pPr>
      <w:r>
        <w:rPr/>
        <w:t xml:space="preserve">(4) The legislature finds that high potency synthetic opioids, even small quantities, in the form of pills, powder, or residue may be fatal to vulnerable children. A parent or guardian's use or possession of high potency synthetic opioids in the vicinity of vulnerable children creates a risk that a child will be exposed to, ingest, inhale, or have contact with a high potency synthetic opioid.</w:t>
      </w:r>
    </w:p>
    <w:p>
      <w:pPr>
        <w:spacing w:before="0" w:after="0" w:line="408" w:lineRule="exact"/>
        <w:ind w:left="0" w:right="0" w:firstLine="576"/>
        <w:jc w:val="left"/>
      </w:pPr>
      <w:r>
        <w:rPr/>
        <w:t xml:space="preserve">(5) The legislature intends to clarify the risk of imminent physical harm and manifest danger that a parent or guardian's use or possession of high potency synthetic opioids presents when courts decide whether a child should be removed from the home or placed out-of-home in child welfare proceedings.</w:t>
      </w:r>
    </w:p>
    <w:p>
      <w:pPr>
        <w:spacing w:before="0" w:after="0" w:line="408" w:lineRule="exact"/>
        <w:ind w:left="0" w:right="0" w:firstLine="576"/>
        <w:jc w:val="left"/>
      </w:pPr>
      <w:r>
        <w:rPr/>
        <w:t xml:space="preserve">(6) The legislature finds that home visiting programs established under chapter 43.216 RCW have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(7) The legislature further finds that targeted home visiting slots for families experiencing substance use disorder promotes expedited access to supports that enhance strengthened parenting skills and allow home visiting providers to have predictable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 potency synthetic opioid" means an illicitly used or unprescribed synthetic opioid classified as a schedule I or II controlled substance or controlled substance analog in chapter 69.50 RCW and federal law or listed by the pharmacy quality assurance commission in chapter 246-945 WAC on the effective date of this section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w:t>
      </w:r>
      <w:r>
        <w:rPr>
          <w:u w:val="single"/>
        </w:rPr>
        <w:t xml:space="preserve">There is a rebuttable presumption that removal of the child is necessary to prevent imminent physical harm when a parent's use or possession of a high potency synthetic opioid, or failure to protect a child from another individual's use or possession of a high potency synthetic opioid, creates a risk that a child will be exposed to, ingest, inhale, or have contact with a high potency synthetic opioid. A parent's promise to secure high potency synthetic opioids or use them only when the child is not in the vicinity is not sufficient to overcome this presumption.</w:t>
      </w:r>
      <w:r>
        <w:rPr/>
        <w:t xml:space="preserve">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w:t>
      </w:r>
      <w:r>
        <w:rPr>
          <w:u w:val="single"/>
        </w:rPr>
        <w:t xml:space="preserve">When a parent's use or possession of a high potency synthetic opioid, or failure to protect a child from another individual's use or possession of a high potency synthetic opioid, creates a risk that a child will be exposed to, ingest, inhale, or have contact with a high potency synthetic opioid, prevention services that would prevent or eliminate the need for removal are only those that are immediately available and provide for 24-hour supervision of the child.</w:t>
      </w:r>
      <w:r>
        <w:rPr/>
        <w:t xml:space="preserve">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2019 c 172 s 12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Consider the assessment required under RCW 13.34.420 and submitted as part of the department's social study, and any related documentation;</w:t>
      </w:r>
    </w:p>
    <w:p>
      <w:pPr>
        <w:spacing w:before="0" w:after="0" w:line="408" w:lineRule="exact"/>
        <w:ind w:left="0" w:right="0" w:firstLine="576"/>
        <w:jc w:val="left"/>
      </w:pPr>
      <w:r>
        <w:t>((</w:t>
      </w:r>
      <w:r>
        <w:rPr>
          <w:strike/>
        </w:rPr>
        <w:t xml:space="preserve">(ii) [(b)]</w:t>
      </w:r>
      <w:r>
        <w:t>))</w:t>
      </w:r>
      <w:r>
        <w:rPr/>
        <w:t xml:space="preserve"> </w:t>
      </w:r>
      <w:r>
        <w:rPr>
          <w:u w:val="single"/>
        </w:rPr>
        <w:t xml:space="preserve">(b)</w:t>
      </w:r>
      <w:r>
        <w:rPr/>
        <w:t xml:space="preserve">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r>
        <w:rPr>
          <w:u w:val="single"/>
        </w:rPr>
        <w:t xml:space="preserve">. There is a rebuttable presumption that a parent is unavailable if the parent has deficiencies that jeopardize the child's right to be nurtured, physical health, mental health, or basic safety, including that which results from substance abuse or a parent's use or possession of a high potency synthetic opioid, or failure to protect a child from another individual's use or possession of a high potency synthetic opioid. A parent's promise to secure high potency synthetic opioids or use them only when the child is not in the vicinity is not sufficient to overcome this presumption</w:t>
      </w:r>
      <w:r>
        <w:rPr/>
        <w:t xml:space="preserve">;</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w:t>
      </w:r>
      <w:r>
        <w:rPr>
          <w:u w:val="single"/>
        </w:rPr>
        <w:t xml:space="preserve">. There is a rebuttable presumption that removal of the child is necessary and a manifest danger exists that the child will suffer serious abuse or neglect when a parent's use or possession of a high potency synthetic opioid, or failure to protect a child from another individual's use or possession of a high potency synthetic opioid, creates a risk that a child will be exposed to, ingest, inhale, or have contact with a high potency synthetic opioid. A parent's promise to secure high potency synthetic opioids or use them only when the child is not in the vicinity is not sufficient to overcome this presumption</w:t>
      </w:r>
      <w:r>
        <w:rPr/>
        <w:t xml:space="preserve">.</w:t>
      </w:r>
    </w:p>
    <w:p>
      <w:pPr>
        <w:spacing w:before="0" w:after="0" w:line="408" w:lineRule="exact"/>
        <w:ind w:left="0" w:right="0" w:firstLine="576"/>
        <w:jc w:val="left"/>
      </w:pPr>
      <w:r>
        <w:rPr/>
        <w:t xml:space="preserve">(7)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(8)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(9)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(10)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w:t>
      </w:r>
      <w:r>
        <w:rPr>
          <w:u w:val="single"/>
        </w:rPr>
        <w:t xml:space="preserve">(a)</w:t>
      </w:r>
      <w:r>
        <w:rPr/>
        <w:t xml:space="preserve">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u w:val="single"/>
        </w:rPr>
        <w:t xml:space="preserve">(b) The risk assessment process must be certified at least every three years based on current academic standards for assessment validation, and can be certified by the office of innovation, alignment, and accountability or an outside researcher.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130</w:t>
      </w:r>
      <w:r>
        <w:rPr/>
        <w:t xml:space="preserve"> and 2017 c 171 s 2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 </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supports the home visiting service delivery system and provides support functions to funded programs.</w:t>
      </w:r>
    </w:p>
    <w:p>
      <w:pPr>
        <w:spacing w:before="0" w:after="0" w:line="408" w:lineRule="exact"/>
        <w:ind w:left="0" w:right="0" w:firstLine="576"/>
        <w:jc w:val="left"/>
      </w:pPr>
      <w:r>
        <w:rPr/>
        <w:t xml:space="preserve">(iii) </w:t>
      </w:r>
      <w:r>
        <w:t>((</w:t>
      </w:r>
      <w:r>
        <w:rPr>
          <w:strike/>
        </w:rPr>
        <w:t xml:space="preserve">It is the intent of the legislature that state funds invested in the account be matched by the private-public partnership each fiscal year.</w:t>
      </w:r>
    </w:p>
    <w:p>
      <w:pPr>
        <w:spacing w:before="0" w:after="0" w:line="408" w:lineRule="exact"/>
        <w:ind w:left="0" w:right="0" w:firstLine="576"/>
        <w:jc w:val="left"/>
      </w:pPr>
      <w:r>
        <w:rPr>
          <w:strike/>
        </w:rPr>
        <w:t xml:space="preserve">(iv)</w:t>
      </w:r>
      <w:r>
        <w:t>))</w:t>
      </w:r>
      <w:r>
        <w:rPr/>
        <w:t xml:space="preserve"> Amounts used for program administration by the department may not exceed an average of ten percent in any two consecutive fiscal years.</w:t>
      </w:r>
    </w:p>
    <w:p>
      <w:pPr>
        <w:spacing w:before="0" w:after="0" w:line="408" w:lineRule="exact"/>
        <w:ind w:left="0" w:right="0" w:firstLine="576"/>
        <w:jc w:val="left"/>
      </w:pPr>
      <w:r>
        <w:t>((</w:t>
      </w:r>
      <w:r>
        <w:rPr>
          <w:strike/>
        </w:rPr>
        <w:t xml:space="preserve">(v) Authorizations for expenditures may be given only after private funds are committed. The nongovernmental private-public partnership must report to the department quarterly to demonstrate investment of private match funds.</w:t>
      </w:r>
      <w:r>
        <w:t>))</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and</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p>
    <w:p>
      <w:pPr>
        <w:spacing w:before="0" w:after="0" w:line="408" w:lineRule="exact"/>
        <w:ind w:left="0" w:right="0" w:firstLine="576"/>
        <w:jc w:val="left"/>
      </w:pPr>
      <w:r>
        <w:rPr/>
        <w:t xml:space="preserve">(4) Beginning July 1, 2010, the department shall contract with the nongovernmental private-public partnership designated in RCW </w:t>
      </w:r>
      <w:r>
        <w:t>((</w:t>
      </w:r>
      <w:r>
        <w:rPr>
          <w:strike/>
        </w:rPr>
        <w:t xml:space="preserve">43.215.070</w:t>
      </w:r>
      <w:r>
        <w:t>))</w:t>
      </w:r>
      <w:r>
        <w:rPr/>
        <w:t xml:space="preserve"> </w:t>
      </w:r>
      <w:r>
        <w:rPr>
          <w:u w:val="single"/>
        </w:rPr>
        <w:t xml:space="preserve">43.216.065</w:t>
      </w:r>
      <w:r>
        <w:rPr/>
        <w:t xml:space="preserve"> to support programs funded through the home visiting services account. The department shall monitor performance and provide periodic reports on the uses and outcomes of the home visiting services account.</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Except for programs established under RCW 43.216.159, the</w:t>
      </w:r>
      <w:r>
        <w:rPr/>
        <w:t xml:space="preserve"> department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early learning and home visiting experts, including one representative from the department, to advise the partnership regarding research and the distribution of funds from the account to eligible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157</w:t>
      </w:r>
      <w:r>
        <w:rPr/>
        <w:t xml:space="preserve"> and 2011 1st sp.s. c 32 s 6 are each amended to read as follows:</w:t>
      </w:r>
    </w:p>
    <w:p>
      <w:pPr>
        <w:spacing w:before="0" w:after="0" w:line="408" w:lineRule="exact"/>
        <w:ind w:left="0" w:right="0" w:firstLine="576"/>
        <w:jc w:val="left"/>
      </w:pPr>
      <w:r>
        <w:rPr/>
        <w:t xml:space="preserve">The definitions in this section apply throughout this section and RCW </w:t>
      </w:r>
      <w:r>
        <w:t>((</w:t>
      </w:r>
      <w:r>
        <w:rPr>
          <w:strike/>
        </w:rPr>
        <w:t xml:space="preserve">43.215.145, 43.215.147, and 43.121.185</w:t>
      </w:r>
      <w:r>
        <w:t>))</w:t>
      </w:r>
      <w:r>
        <w:rPr/>
        <w:t xml:space="preserve"> </w:t>
      </w:r>
      <w:r>
        <w:rPr>
          <w:u w:val="single"/>
        </w:rPr>
        <w:t xml:space="preserve">43.216.155 and 43.216.159</w:t>
      </w:r>
      <w:r>
        <w:rPr/>
        <w:t xml:space="preserve"> unless the context clearly requires otherwise.</w:t>
      </w:r>
    </w:p>
    <w:p>
      <w:pPr>
        <w:spacing w:before="0" w:after="0" w:line="408" w:lineRule="exact"/>
        <w:ind w:left="0" w:right="0" w:firstLine="576"/>
        <w:jc w:val="left"/>
      </w:pPr>
      <w:r>
        <w:rPr/>
        <w:t xml:space="preserve">(1)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rPr/>
        <w:t xml:space="preserve">(2) "Home </w:t>
      </w:r>
      <w:r>
        <w:t>((</w:t>
      </w:r>
      <w:r>
        <w:rPr>
          <w:strike/>
        </w:rPr>
        <w:t xml:space="preserve">visitation</w:t>
      </w:r>
      <w:r>
        <w:t>))</w:t>
      </w:r>
      <w:r>
        <w:rPr/>
        <w:t xml:space="preserve"> </w:t>
      </w:r>
      <w:r>
        <w:rPr>
          <w:u w:val="single"/>
        </w:rPr>
        <w:t xml:space="preserve">visiting</w:t>
      </w:r>
      <w:r>
        <w:rPr/>
        <w:t xml:space="preserve">" means providing services in the permanent or temporary residence, or in other familiar surroundings, of the family receiving such services.</w:t>
      </w:r>
    </w:p>
    <w:p>
      <w:pPr>
        <w:spacing w:before="0" w:after="0" w:line="408" w:lineRule="exact"/>
        <w:ind w:left="0" w:right="0" w:firstLine="576"/>
        <w:jc w:val="left"/>
      </w:pPr>
      <w:r>
        <w:rPr/>
        <w:t xml:space="preserve">(3) "Research-based"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159</w:t>
      </w:r>
      <w:r>
        <w:rPr/>
        <w:t xml:space="preserve"> and 2011 1st sp.s. c 32 s 7 are each amended to read as follows:</w:t>
      </w:r>
    </w:p>
    <w:p>
      <w:pPr>
        <w:spacing w:before="0" w:after="0" w:line="408" w:lineRule="exact"/>
        <w:ind w:left="0" w:right="0" w:firstLine="576"/>
        <w:jc w:val="left"/>
      </w:pPr>
      <w:r>
        <w:rPr/>
        <w:t xml:space="preserve">(1) Within available funds, the department shall fund evidence</w:t>
      </w:r>
      <w:r>
        <w:rPr/>
        <w:noBreakHyphen/>
      </w:r>
      <w:r>
        <w:rPr/>
        <w:t xml:space="preserve">based and research</w:t>
      </w:r>
      <w:r>
        <w:rPr/>
        <w:noBreakHyphen/>
      </w:r>
      <w:r>
        <w:rPr/>
        <w:t xml:space="preserve">based home </w:t>
      </w:r>
      <w:r>
        <w:t>((</w:t>
      </w:r>
      <w:r>
        <w:rPr>
          <w:strike/>
        </w:rPr>
        <w:t xml:space="preserve">visitation</w:t>
      </w:r>
      <w:r>
        <w:t>))</w:t>
      </w:r>
      <w:r>
        <w:rPr/>
        <w:t xml:space="preserve"> </w:t>
      </w:r>
      <w:r>
        <w:rPr>
          <w:u w:val="single"/>
        </w:rPr>
        <w:t xml:space="preserve">visiting</w:t>
      </w:r>
      <w:r>
        <w:rPr/>
        <w:t xml:space="preserve"> programs for improving parenting skills and outcomes for children. Home </w:t>
      </w:r>
      <w:r>
        <w:t>((</w:t>
      </w:r>
      <w:r>
        <w:rPr>
          <w:strike/>
        </w:rPr>
        <w:t xml:space="preserve">visitation</w:t>
      </w:r>
      <w:r>
        <w:t>))</w:t>
      </w:r>
      <w:r>
        <w:rPr/>
        <w:t xml:space="preserve"> </w:t>
      </w:r>
      <w:r>
        <w:rPr>
          <w:u w:val="single"/>
        </w:rPr>
        <w:t xml:space="preserve">visiting</w:t>
      </w:r>
      <w:r>
        <w:rPr/>
        <w:t xml:space="preserve"> programs must be voluntary and must address the needs of families to alleviate the effect on child development of factors such as poverty, single parenthood, parental unemployment or underemployment, parental disability, or parental lack of high school diploma, which research shows are risk factors for child abuse and neglect and poor educational outcomes. In order to maximize opportunities to obtain matching funds from private entities, general funds intended to support home visiting funding shall be appropriated to the home visiting services account established in RCW </w:t>
      </w:r>
      <w:r>
        <w:t>((</w:t>
      </w:r>
      <w:r>
        <w:rPr>
          <w:strike/>
        </w:rPr>
        <w:t xml:space="preserve">43.215.130</w:t>
      </w:r>
      <w:r>
        <w:t>))</w:t>
      </w:r>
      <w:r>
        <w:rPr/>
        <w:t xml:space="preserve"> </w:t>
      </w:r>
      <w:r>
        <w:rPr>
          <w:u w:val="single"/>
        </w:rPr>
        <w:t xml:space="preserve">43.216.130</w:t>
      </w:r>
      <w:r>
        <w:rPr/>
        <w:t xml:space="preserve">.</w:t>
      </w:r>
    </w:p>
    <w:p>
      <w:pPr>
        <w:spacing w:before="0" w:after="0" w:line="408" w:lineRule="exact"/>
        <w:ind w:left="0" w:right="0" w:firstLine="576"/>
        <w:jc w:val="left"/>
      </w:pPr>
      <w:r>
        <w:rPr/>
        <w:t xml:space="preserve">(2) The department shall work with the department of social and health services, the department of health, the private-public partnership created in RCW </w:t>
      </w:r>
      <w:r>
        <w:t>((</w:t>
      </w:r>
      <w:r>
        <w:rPr>
          <w:strike/>
        </w:rPr>
        <w:t xml:space="preserve">43.215.070</w:t>
      </w:r>
      <w:r>
        <w:t>))</w:t>
      </w:r>
      <w:r>
        <w:rPr/>
        <w:t xml:space="preserve"> </w:t>
      </w:r>
      <w:r>
        <w:rPr>
          <w:u w:val="single"/>
        </w:rPr>
        <w:t xml:space="preserve">43.216.065</w:t>
      </w:r>
      <w:r>
        <w:rPr/>
        <w:t xml:space="preserve">, and key partners and stakeholders to develop a plan to coordinate or consolidate home </w:t>
      </w:r>
      <w:r>
        <w:t>((</w:t>
      </w:r>
      <w:r>
        <w:rPr>
          <w:strike/>
        </w:rPr>
        <w:t xml:space="preserve">visitation</w:t>
      </w:r>
      <w:r>
        <w:t>))</w:t>
      </w:r>
      <w:r>
        <w:rPr/>
        <w:t xml:space="preserve"> </w:t>
      </w:r>
      <w:r>
        <w:rPr>
          <w:u w:val="single"/>
        </w:rPr>
        <w:t xml:space="preserve">visiting</w:t>
      </w:r>
      <w:r>
        <w:rPr/>
        <w:t xml:space="preserve"> services for children and families to the extent practicable.</w:t>
      </w:r>
    </w:p>
    <w:p>
      <w:pPr>
        <w:spacing w:before="0" w:after="0" w:line="408" w:lineRule="exact"/>
        <w:ind w:left="0" w:right="0" w:firstLine="576"/>
        <w:jc w:val="left"/>
      </w:pPr>
      <w:r>
        <w:rPr>
          <w:u w:val="single"/>
        </w:rPr>
        <w:t xml:space="preserve">(3)(a) In addition to the programs described in subsection (1) of this section, the department shall provide support for additional home visiting programs for families receiving child protective services as defined under RCW 26.44.020, families with a child who is a candidate for foster care as defined under RCW 26.44.020, or families receiving child welfare services as defined under RCW 74.13.020 by:</w:t>
      </w:r>
    </w:p>
    <w:p>
      <w:pPr>
        <w:spacing w:before="0" w:after="0" w:line="408" w:lineRule="exact"/>
        <w:ind w:left="0" w:right="0" w:firstLine="576"/>
        <w:jc w:val="left"/>
      </w:pPr>
      <w:r>
        <w:rPr>
          <w:u w:val="single"/>
        </w:rPr>
        <w:t xml:space="preserve">(i) Contracting with existing home visiting programs established under RCW 43.216.130 to provide additional, targeted home visiting programs in areas with the highest historical rates of child welfare screened-in intakes to serve up to 150 families following a competitive procurement process in accordance with chapter 39.26 RCW; and</w:t>
      </w:r>
    </w:p>
    <w:p>
      <w:pPr>
        <w:spacing w:before="0" w:after="0" w:line="408" w:lineRule="exact"/>
        <w:ind w:left="0" w:right="0" w:firstLine="576"/>
        <w:jc w:val="left"/>
      </w:pPr>
      <w:r>
        <w:rPr>
          <w:u w:val="single"/>
        </w:rPr>
        <w:t xml:space="preserve">(ii) Providing payment to each selected home visiting program using a rate established by the department.</w:t>
      </w:r>
    </w:p>
    <w:p>
      <w:pPr>
        <w:spacing w:before="0" w:after="0" w:line="408" w:lineRule="exact"/>
        <w:ind w:left="0" w:right="0" w:firstLine="576"/>
        <w:jc w:val="left"/>
      </w:pPr>
      <w:r>
        <w:rPr>
          <w:u w:val="single"/>
        </w:rPr>
        <w:t xml:space="preserve">(b) The additional, targeted home visiting programs created under this subsection must meet the following requirements:</w:t>
      </w:r>
    </w:p>
    <w:p>
      <w:pPr>
        <w:spacing w:before="0" w:after="0" w:line="408" w:lineRule="exact"/>
        <w:ind w:left="0" w:right="0" w:firstLine="576"/>
        <w:jc w:val="left"/>
      </w:pPr>
      <w:r>
        <w:rPr>
          <w:u w:val="single"/>
        </w:rPr>
        <w:t xml:space="preserve">(i) The contracted providers must be existing home visiting providers;</w:t>
      </w:r>
    </w:p>
    <w:p>
      <w:pPr>
        <w:spacing w:before="0" w:after="0" w:line="408" w:lineRule="exact"/>
        <w:ind w:left="0" w:right="0" w:firstLine="576"/>
        <w:jc w:val="left"/>
      </w:pPr>
      <w:r>
        <w:rPr>
          <w:u w:val="single"/>
        </w:rPr>
        <w:t xml:space="preserve">(ii) The areas served must have the highest historical rates of child welfare screened-in intakes; and</w:t>
      </w:r>
    </w:p>
    <w:p>
      <w:pPr>
        <w:spacing w:before="0" w:after="0" w:line="408" w:lineRule="exact"/>
        <w:ind w:left="0" w:right="0" w:firstLine="576"/>
        <w:jc w:val="left"/>
      </w:pPr>
      <w:r>
        <w:rPr>
          <w:u w:val="single"/>
        </w:rPr>
        <w:t xml:space="preserve">(iii) The contracted providers must make arrangements to serve families living in rural areas.</w:t>
      </w:r>
    </w:p>
    <w:p>
      <w:pPr>
        <w:spacing w:before="0" w:after="0" w:line="408" w:lineRule="exact"/>
        <w:ind w:left="0" w:right="0" w:firstLine="576"/>
        <w:jc w:val="left"/>
      </w:pPr>
      <w:r>
        <w:rPr>
          <w:u w:val="single"/>
        </w:rPr>
        <w:t xml:space="preserve">(c) Within amounts appropriated for this specific purpose, the department shall provide training to home visiting providers selected under this section specific to serving families impacted by substance use disorders.</w:t>
      </w:r>
    </w:p>
    <w:p>
      <w:pPr>
        <w:spacing w:before="0" w:after="0" w:line="408" w:lineRule="exact"/>
        <w:ind w:left="0" w:right="0" w:firstLine="576"/>
        <w:jc w:val="left"/>
      </w:pPr>
      <w:r>
        <w:rPr>
          <w:u w:val="single"/>
        </w:rPr>
        <w:t xml:space="preserve">(d) Home visiting providers who are provided a referral to work with a family through the process established in (e) of this subsection must make efforts to contact those families within seven days of receiving the referral.</w:t>
      </w:r>
    </w:p>
    <w:p>
      <w:pPr>
        <w:spacing w:before="0" w:after="0" w:line="408" w:lineRule="exact"/>
        <w:ind w:left="0" w:right="0" w:firstLine="576"/>
        <w:jc w:val="left"/>
      </w:pPr>
      <w:r>
        <w:rPr>
          <w:u w:val="single"/>
        </w:rPr>
        <w:t xml:space="preserve">(e) The department shall develop and implement a referral process to refer eligible families to the home visiting programs established under this subsection, which allows child welfare workers as defined under RCW 74.14B.010 and community organizations working with eligible families to make referrals.</w:t>
      </w:r>
    </w:p>
    <w:p>
      <w:pPr>
        <w:spacing w:before="0" w:after="0" w:line="408" w:lineRule="exact"/>
        <w:ind w:left="0" w:right="0" w:firstLine="576"/>
        <w:jc w:val="left"/>
      </w:pPr>
      <w:r>
        <w:rPr>
          <w:u w:val="single"/>
        </w:rPr>
        <w:t xml:space="preserve">(f) Priority for home visiting programs established under this section must be given to a family when:</w:t>
      </w:r>
    </w:p>
    <w:p>
      <w:pPr>
        <w:spacing w:before="0" w:after="0" w:line="408" w:lineRule="exact"/>
        <w:ind w:left="0" w:right="0" w:firstLine="576"/>
        <w:jc w:val="left"/>
      </w:pPr>
      <w:r>
        <w:rPr>
          <w:u w:val="single"/>
        </w:rPr>
        <w:t xml:space="preserve">(i) The department is investigating a report of alleged abuse or neglect under RCW 26.44.030 regarding that family;</w:t>
      </w:r>
    </w:p>
    <w:p>
      <w:pPr>
        <w:spacing w:before="0" w:after="0" w:line="408" w:lineRule="exact"/>
        <w:ind w:left="0" w:right="0" w:firstLine="576"/>
        <w:jc w:val="left"/>
      </w:pPr>
      <w:r>
        <w:rPr>
          <w:u w:val="single"/>
        </w:rPr>
        <w:t xml:space="preserve">(ii) Receiving a family assessment response under RCW 26.44.260; or</w:t>
      </w:r>
    </w:p>
    <w:p>
      <w:pPr>
        <w:spacing w:before="0" w:after="0" w:line="408" w:lineRule="exact"/>
        <w:ind w:left="0" w:right="0" w:firstLine="576"/>
        <w:jc w:val="left"/>
      </w:pPr>
      <w:r>
        <w:rPr>
          <w:u w:val="single"/>
        </w:rPr>
        <w:t xml:space="preserve">(iii) Receiving voluntary services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launch a pilot study to improve its risks, strengths, and needs assessment tool to:</w:t>
      </w:r>
    </w:p>
    <w:p>
      <w:pPr>
        <w:spacing w:before="0" w:after="0" w:line="408" w:lineRule="exact"/>
        <w:ind w:left="0" w:right="0" w:firstLine="576"/>
        <w:jc w:val="left"/>
      </w:pPr>
      <w:r>
        <w:rPr/>
        <w:t xml:space="preserve">(a) Identify family risks, strengths, and needs at the time of the initial child protective services investigation or family assessment response to help inform the most appropriate service path for the family;</w:t>
      </w:r>
    </w:p>
    <w:p>
      <w:pPr>
        <w:spacing w:before="0" w:after="0" w:line="408" w:lineRule="exact"/>
        <w:ind w:left="0" w:right="0" w:firstLine="576"/>
        <w:jc w:val="left"/>
      </w:pPr>
      <w:r>
        <w:rPr/>
        <w:t xml:space="preserve">(b) Identify the risk of harm to a child when substance use disorder is a factor in the case of high potency synthetic opioids as defined in RCW 13.34.030, is a condition in the home;</w:t>
      </w:r>
    </w:p>
    <w:p>
      <w:pPr>
        <w:spacing w:before="0" w:after="0" w:line="408" w:lineRule="exact"/>
        <w:ind w:left="0" w:right="0" w:firstLine="576"/>
        <w:jc w:val="left"/>
      </w:pPr>
      <w:r>
        <w:rPr/>
        <w:t xml:space="preserve">(c) Determine the service needs of the family and support caseworkers to identify and transition families to appropriate, available services quickly; and</w:t>
      </w:r>
    </w:p>
    <w:p>
      <w:pPr>
        <w:spacing w:before="0" w:after="0" w:line="408" w:lineRule="exact"/>
        <w:ind w:left="0" w:right="0" w:firstLine="576"/>
        <w:jc w:val="left"/>
      </w:pPr>
      <w:r>
        <w:rPr/>
        <w:t xml:space="preserve">(d) Support reassessment and monitoring of family progress.</w:t>
      </w:r>
    </w:p>
    <w:p>
      <w:pPr>
        <w:spacing w:before="0" w:after="0" w:line="408" w:lineRule="exact"/>
        <w:ind w:left="0" w:right="0" w:firstLine="576"/>
        <w:jc w:val="left"/>
      </w:pPr>
      <w:r>
        <w:rPr/>
        <w:t xml:space="preserve">(2) By November 1, 2024, the department of children, youth, and families shall provide data and information to the legislature on the department's efforts to improve its risks, strengths, and needs assessment tool.</w:t>
      </w:r>
    </w:p>
    <w:p>
      <w:pPr>
        <w:spacing w:before="0" w:after="0" w:line="408" w:lineRule="exact"/>
        <w:ind w:left="0" w:right="0" w:firstLine="576"/>
        <w:jc w:val="left"/>
      </w:pPr>
      <w:r>
        <w:rPr/>
        <w:t xml:space="preserve">(3) This section expires August 1, 2025.</w:t>
      </w:r>
    </w:p>
    <w:p/>
    <w:p>
      <w:pPr>
        <w:jc w:val="center"/>
      </w:pPr>
      <w:r>
        <w:rPr>
          <w:b/>
        </w:rPr>
        <w:t>--- END ---</w:t>
      </w:r>
    </w:p>
    <w:sectPr>
      <w:pgNumType w:start="1"/>
      <w:footerReference xmlns:r="http://schemas.openxmlformats.org/officeDocument/2006/relationships" r:id="R6e877660a6ba48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c42647fc749f4" /><Relationship Type="http://schemas.openxmlformats.org/officeDocument/2006/relationships/footer" Target="/word/footer1.xml" Id="R6e877660a6ba4809" /></Relationships>
</file>