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5676272d974cc8" /></Relationships>
</file>

<file path=word/document.xml><?xml version="1.0" encoding="utf-8"?>
<w:document xmlns:w="http://schemas.openxmlformats.org/wordprocessingml/2006/main">
  <w:body>
    <w:p>
      <w:r>
        <w:t>H-3023.1</w:t>
      </w:r>
    </w:p>
    <w:p>
      <w:pPr>
        <w:jc w:val="center"/>
      </w:pPr>
      <w:r>
        <w:t>_______________________________________________</w:t>
      </w:r>
    </w:p>
    <w:p/>
    <w:p>
      <w:pPr>
        <w:jc w:val="center"/>
      </w:pPr>
      <w:r>
        <w:rPr>
          <w:b/>
        </w:rPr>
        <w:t>SUBSTITUTE HOUSE BILL 2180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Callan, Bergquist, Reed, Ormsby, Ramel, Stonier, Paul, Alvarado, Farivar, Fosse, and Reeves; by request of Office of Financial Management)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special education enrollment funding cap; amending RCW 28A.150.390;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2023 c 417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1.2;</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p>
    <w:p>
      <w:pPr>
        <w:spacing w:before="0" w:after="0" w:line="408" w:lineRule="exact"/>
        <w:ind w:left="0" w:right="0" w:firstLine="576"/>
        <w:jc w:val="left"/>
      </w:pPr>
      <w:r>
        <w:rPr/>
        <w:t xml:space="preserve">(A) Beginning in the 2020-21 school year, either:</w:t>
      </w:r>
    </w:p>
    <w:p>
      <w:pPr>
        <w:spacing w:before="0" w:after="0" w:line="408" w:lineRule="exact"/>
        <w:ind w:left="0" w:right="0" w:firstLine="576"/>
        <w:jc w:val="left"/>
      </w:pPr>
      <w:r>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t xml:space="preserve">(B) Beginning in the 2023-24 school year, either:</w:t>
      </w:r>
    </w:p>
    <w:p>
      <w:pPr>
        <w:spacing w:before="0" w:after="0" w:line="408" w:lineRule="exact"/>
        <w:ind w:left="0" w:right="0" w:firstLine="576"/>
        <w:jc w:val="left"/>
      </w:pPr>
      <w:r>
        <w:rPr/>
        <w:t xml:space="preserve">(I) 1.12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t xml:space="preserve">(II) 1.06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t xml:space="preserve">(ii) If the enrollment percent exceeds </w:t>
      </w:r>
      <w:r>
        <w:t>((</w:t>
      </w:r>
      <w:r>
        <w:rPr>
          <w:strike/>
        </w:rPr>
        <w:t xml:space="preserve">15</w:t>
      </w:r>
      <w:r>
        <w:t>))</w:t>
      </w:r>
      <w:r>
        <w:rPr/>
        <w:t xml:space="preserve"> </w:t>
      </w:r>
      <w:r>
        <w:rPr>
          <w:u w:val="single"/>
        </w:rPr>
        <w:t xml:space="preserve">17.25</w:t>
      </w:r>
      <w:r>
        <w:rPr/>
        <w:t xml:space="preserve"> percent, the excess cost allocation calculated under (b)(i) of this subsection must be adjusted by multiplying the allocation by </w:t>
      </w:r>
      <w:r>
        <w:t>((</w:t>
      </w:r>
      <w:r>
        <w:rPr>
          <w:strike/>
        </w:rPr>
        <w:t xml:space="preserve">15</w:t>
      </w:r>
      <w:r>
        <w:t>))</w:t>
      </w:r>
      <w:r>
        <w:rPr/>
        <w:t xml:space="preserve"> </w:t>
      </w:r>
      <w:r>
        <w:rPr>
          <w:u w:val="single"/>
        </w:rPr>
        <w:t xml:space="preserve">17.25</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auditor, in consultation with the office of the superintendent of public instruction, shall conduct a review of the prevalence of disabilities and whether the provisions and funding for evaluating students and providing services reflects the prevalence of disabilities, including whether any populations are disparately underevaluated or underserved. The state auditor must report findings and recommendations to the governor and the committees of the legislature with jurisdiction over fiscal matters and special education by November 30, 2025.</w:t>
      </w:r>
    </w:p>
    <w:p>
      <w:pPr>
        <w:spacing w:before="0" w:after="0" w:line="408" w:lineRule="exact"/>
        <w:ind w:left="0" w:right="0" w:firstLine="576"/>
        <w:jc w:val="left"/>
      </w:pPr>
      <w:r>
        <w:rPr/>
        <w:t xml:space="preserve">This section expires March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d2e638869f9144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bd9747cef34d11" /><Relationship Type="http://schemas.openxmlformats.org/officeDocument/2006/relationships/footer" Target="/word/footer1.xml" Id="Rd2e638869f914435" /></Relationships>
</file>