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6ce6e7d334506" /></Relationships>
</file>

<file path=word/document.xml><?xml version="1.0" encoding="utf-8"?>
<w:document xmlns:w="http://schemas.openxmlformats.org/wordprocessingml/2006/main">
  <w:body>
    <w:p>
      <w:r>
        <w:t>H-9097.2</w:t>
      </w:r>
    </w:p>
    <w:p>
      <w:pPr>
        <w:jc w:val="center"/>
      </w:pPr>
      <w:r>
        <w:t>_______________________________________________</w:t>
      </w:r>
    </w:p>
    <w:p/>
    <w:p>
      <w:pPr>
        <w:jc w:val="center"/>
      </w:pPr>
      <w:r>
        <w:rPr>
          <w:b/>
        </w:rPr>
        <w:t>SUBSTITUTE HOUSE BILL 2096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Leavitt, Couture, Bronoske, Robertson, Klicker, Sandlin, Stokesbary, Chambers, Eslick, Graham, Barnard, Jacobsen, and Caldier)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888da1cb4dd544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41b8dc262489b" /><Relationship Type="http://schemas.openxmlformats.org/officeDocument/2006/relationships/footer" Target="/word/footer1.xml" Id="R888da1cb4dd544bd" /></Relationships>
</file>