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ef16e66364627" /></Relationships>
</file>

<file path=word/document.xml><?xml version="1.0" encoding="utf-8"?>
<w:document xmlns:w="http://schemas.openxmlformats.org/wordprocessingml/2006/main">
  <w:body>
    <w:p>
      <w:r>
        <w:t>H-2054.1</w:t>
      </w:r>
    </w:p>
    <w:p>
      <w:pPr>
        <w:jc w:val="center"/>
      </w:pPr>
      <w:r>
        <w:t>_______________________________________________</w:t>
      </w:r>
    </w:p>
    <w:p/>
    <w:p>
      <w:pPr>
        <w:jc w:val="center"/>
      </w:pPr>
      <w:r>
        <w:rPr>
          <w:b/>
        </w:rPr>
        <w:t>HOUSE BILL 1948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Ybarra, Fitzgibbon, Reed, Graham, Ormsby, Doglio, and Pollet</w:t>
      </w:r>
    </w:p>
    <w:p/>
    <w:p>
      <w:r>
        <w:rPr>
          <w:t xml:space="preserve">Prefiled 12/14/23.</w:t>
        </w:rPr>
      </w:r>
      <w:r>
        <w:rPr>
          <w:t xml:space="preserve">Read first time 01/08/24.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that methods for calculating the electric load of utilities under the energy independence act do not have the effect of discouraging voluntary investments in renewable power; amending RCW 19.285.030; and reenacting and amending RCW 19.285.040.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2019 c 288 s 28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 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Qualified biomass energy;</w:t>
      </w:r>
    </w:p>
    <w:p>
      <w:pPr>
        <w:spacing w:before="0" w:after="0" w:line="408" w:lineRule="exact"/>
        <w:ind w:left="0" w:right="0" w:firstLine="576"/>
        <w:jc w:val="left"/>
      </w:pPr>
      <w:r>
        <w:rPr/>
        <w:t xml:space="preserve">(e) For a qualifying utility that serves customers in other states, electricity from a generation facility powered by a renewable resource other than fresh 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(f)(i) Incremental electricity produced as a result of a capital investment completed after January 1, 2010, that increases, relative to a baseline level of generation prior to the capital investment, the amount of electricity generated in a facility that generates qualified biomass energy as defined under subsection (18)(c)(ii) of this section and that commenced operation before March 31, 1999.</w:t>
      </w:r>
    </w:p>
    <w:p>
      <w:pPr>
        <w:spacing w:before="0" w:after="0" w:line="408" w:lineRule="exact"/>
        <w:ind w:left="0" w:right="0" w:firstLine="576"/>
        <w:jc w:val="left"/>
      </w:pPr>
      <w:r>
        <w:rPr/>
        <w:t xml:space="preserve">(ii) Beginning January 1, 2007, the facility must demonstrate its baseline level of generation over a three-year period prior to the capital investment in order to calculate the amount of incremental electricity produced.</w:t>
      </w:r>
    </w:p>
    <w:p>
      <w:pPr>
        <w:spacing w:before="0" w:after="0" w:line="408" w:lineRule="exact"/>
        <w:ind w:left="0" w:right="0" w:firstLine="576"/>
        <w:jc w:val="left"/>
      </w:pPr>
      <w:r>
        <w:rPr/>
        <w:t xml:space="preserve">(iii) The facility must demonstrate that the incremental electricity resulted from the capital investment, which does not include expenditures on operation and maintenance in the normal course of business, through direct or calculated measurement;</w:t>
      </w:r>
    </w:p>
    <w:p>
      <w:pPr>
        <w:spacing w:before="0" w:after="0" w:line="408" w:lineRule="exact"/>
        <w:ind w:left="0" w:right="0" w:firstLine="576"/>
        <w:jc w:val="left"/>
      </w:pPr>
      <w:r>
        <w:rPr/>
        <w:t xml:space="preserve">(g) That portion of incremental electricity produced as a result of efficiency improvements completed after March 31, 1999, attributable to a qualifying utility's share of the electricity output from hydroelectric generation projects whose energy output is marketed by the Bonneville power administration where the additional generation does not result in new water diversions or impoundments; or</w:t>
      </w:r>
    </w:p>
    <w:p>
      <w:pPr>
        <w:spacing w:before="0" w:after="0" w:line="408" w:lineRule="exact"/>
        <w:ind w:left="0" w:right="0" w:firstLine="576"/>
        <w:jc w:val="left"/>
      </w:pPr>
      <w:r>
        <w:rPr/>
        <w:t xml:space="preserve">(h) The environmental attributes, including renewable energy credits, from (g) of this subsection transferred to investor-owned utilities pursuant to the Bonneville power administration's residential exchange program.</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w:t>
      </w:r>
      <w:r>
        <w:rPr>
          <w:u w:val="single"/>
        </w:rPr>
        <w:t xml:space="preserve">(a)</w:t>
      </w:r>
      <w:r>
        <w:rPr/>
        <w:t xml:space="preserve">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u w:val="single"/>
        </w:rPr>
        <w:t xml:space="preserve">(b) "Load" does not include kilowatt-hours delivered to a qualifying utility's system from an eligible renewable resource through a voluntary renewable energy purchase by a retail electric customer of the utility in which the renewable energy credits associated with the kilowatt-hours delivered are retired on behalf of the customer.</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w:t>
      </w:r>
      <w:r>
        <w:t>((</w:t>
      </w:r>
      <w:r>
        <w:rPr>
          <w:strike/>
        </w:rPr>
        <w:t xml:space="preserve">twenty</w:t>
      </w:r>
      <w:r>
        <w:rPr/>
        <w:noBreakHyphen/>
      </w:r>
      <w:r>
        <w:rPr>
          <w:strike/>
        </w:rPr>
        <w:t xml:space="preserve">five thousand</w:t>
      </w:r>
      <w:r>
        <w:t>))</w:t>
      </w:r>
      <w:r>
        <w:rPr/>
        <w:t xml:space="preserve"> </w:t>
      </w:r>
      <w:r>
        <w:rPr>
          <w:u w:val="single"/>
        </w:rPr>
        <w:t xml:space="preserve">25,000</w:t>
      </w:r>
      <w:r>
        <w:rPr/>
        <w:t xml:space="preserve">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one megawatt-hour of an eligible renewable resource.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w:t>
      </w:r>
      <w:r>
        <w:rPr>
          <w:u w:val="single"/>
        </w:rPr>
        <w:t xml:space="preserve">"Voluntary renewable energy purchase" means an elective decision by a retail electric customer of a qualifying utility to purchase eligible renewable resources directly or participate in a program in which the electric utility purchases megawatt-hours from eligible renewable resources, delivers those megawatt-hours to the utility's system, and retires the associated renewable energy credits on behalf of the retail electric customer.</w:t>
      </w:r>
    </w:p>
    <w:p>
      <w:pPr>
        <w:spacing w:before="0" w:after="0" w:line="408" w:lineRule="exact"/>
        <w:ind w:left="0" w:right="0" w:firstLine="576"/>
        <w:jc w:val="left"/>
      </w:pPr>
      <w:r>
        <w:rPr>
          <w:u w:val="single"/>
        </w:rPr>
        <w:t xml:space="preserve">(24)</w:t>
      </w:r>
      <w:r>
        <w:rPr/>
        <w:t xml:space="preserve"> "Year" means the </w:t>
      </w:r>
      <w:r>
        <w:t>((</w:t>
      </w:r>
      <w:r>
        <w:rPr>
          <w:strike/>
        </w:rPr>
        <w:t xml:space="preserve">twelve-month</w:t>
      </w:r>
      <w:r>
        <w:t>))</w:t>
      </w:r>
      <w:r>
        <w:rPr/>
        <w:t xml:space="preserve"> </w:t>
      </w:r>
      <w:r>
        <w:rPr>
          <w:u w:val="single"/>
        </w:rPr>
        <w:t xml:space="preserve">12-month</w:t>
      </w:r>
      <w:r>
        <w:rPr/>
        <w:t xml:space="preserve"> period commencing January 1st and ending December 31st.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2021 c 315 s 17 and 2021 c 79 s 1 are each reenacted and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w:t>
      </w:r>
      <w:r>
        <w:t>((</w:t>
      </w:r>
      <w:r>
        <w:rPr>
          <w:strike/>
        </w:rPr>
        <w:t xml:space="preserve">twenty</w:t>
      </w:r>
      <w:r>
        <w:t>))</w:t>
      </w:r>
      <w:r>
        <w:rPr/>
        <w:t xml:space="preserve"> </w:t>
      </w:r>
      <w:r>
        <w:rPr>
          <w:u w:val="single"/>
        </w:rPr>
        <w:t xml:space="preserve">20</w:t>
      </w:r>
      <w:r>
        <w:rPr/>
        <w:t xml:space="preserve">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w:t>
      </w:r>
      <w:r>
        <w:t>((</w:t>
      </w:r>
      <w:r>
        <w:rPr>
          <w:strike/>
        </w:rPr>
        <w:t xml:space="preserve">twenty-five</w:t>
      </w:r>
      <w:r>
        <w:t>))</w:t>
      </w:r>
      <w:r>
        <w:rPr/>
        <w:t xml:space="preserve"> </w:t>
      </w:r>
      <w:r>
        <w:rPr>
          <w:u w:val="single"/>
        </w:rPr>
        <w:t xml:space="preserve">25</w:t>
      </w:r>
      <w:r>
        <w:rPr/>
        <w:t xml:space="preser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w:t>
      </w:r>
      <w:r>
        <w:t>((</w:t>
      </w:r>
      <w:r>
        <w:rPr>
          <w:strike/>
        </w:rPr>
        <w:t xml:space="preserve">ninety-five thousand</w:t>
      </w:r>
      <w:r>
        <w:t>))</w:t>
      </w:r>
      <w:r>
        <w:rPr/>
        <w:t xml:space="preserve"> </w:t>
      </w:r>
      <w:r>
        <w:rPr>
          <w:u w:val="single"/>
        </w:rPr>
        <w:t xml:space="preserve">95,000</w:t>
      </w:r>
      <w:r>
        <w:rPr/>
        <w:t xml:space="preserve"> and </w:t>
      </w:r>
      <w:r>
        <w:t>((</w:t>
      </w:r>
      <w:r>
        <w:rPr>
          <w:strike/>
        </w:rPr>
        <w:t xml:space="preserve">one hundred fifteen thousand</w:t>
      </w:r>
      <w:r>
        <w:t>))</w:t>
      </w:r>
      <w:r>
        <w:rPr/>
        <w:t xml:space="preserve"> </w:t>
      </w:r>
      <w:r>
        <w:rPr>
          <w:u w:val="single"/>
        </w:rPr>
        <w:t xml:space="preserve">115,000</w:t>
      </w:r>
      <w:r>
        <w:rPr/>
        <w:t xml:space="preserve"> that is directly interconnected with electricity facilities that are capable of carrying electricity at transmission voltage may use cost-effective conservation from that industrial facility in excess of its biennial acquisition target to help meet the immediately subsequent two biennial acquisition targets, such that no more than </w:t>
      </w:r>
      <w:r>
        <w:t>((</w:t>
      </w:r>
      <w:r>
        <w:rPr>
          <w:strike/>
        </w:rPr>
        <w:t xml:space="preserve">twenty-five</w:t>
      </w:r>
      <w:r>
        <w:t>))</w:t>
      </w:r>
      <w:r>
        <w:rPr/>
        <w:t xml:space="preserve"> </w:t>
      </w:r>
      <w:r>
        <w:rPr>
          <w:u w:val="single"/>
        </w:rPr>
        <w:t xml:space="preserve">25</w:t>
      </w:r>
      <w:r>
        <w:rPr/>
        <w:t xml:space="preser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w:t>
      </w:r>
      <w:r>
        <w:t>((</w:t>
      </w:r>
      <w:r>
        <w:rPr>
          <w:strike/>
        </w:rPr>
        <w:t xml:space="preserve">thirty-three</w:t>
      </w:r>
      <w:r>
        <w:t>))</w:t>
      </w:r>
      <w:r>
        <w:rPr/>
        <w:t xml:space="preserve"> </w:t>
      </w:r>
      <w:r>
        <w:rPr>
          <w:u w:val="single"/>
        </w:rPr>
        <w:t xml:space="preserve">33</w:t>
      </w:r>
      <w:r>
        <w:rPr/>
        <w:t xml:space="preserv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A qualifying utility is considered in compliance with its biennial acquisition target for cost-effective conservation in (b) of this subsection if events beyond the reasonable control of the utility that could not have been reasonably anticipated or ameliorated prevented it from meeting the conservation target. Events that a qualifying utility may demonstrate were beyond its reasonable control, that could not have reasonably been anticipated or ameliorated, and that prevented it from meeting the conservation target include: (i) Natural disasters resulting in the issuance of extended emergency declarations; (ii) the cancellation of significant conservation projects; and (iii) actions of a governmental authority that adversely affects the acquisition of cost-effective conservation by the qualifying utility.</w:t>
      </w:r>
    </w:p>
    <w:p>
      <w:pPr>
        <w:spacing w:before="0" w:after="0" w:line="408" w:lineRule="exact"/>
        <w:ind w:left="0" w:right="0" w:firstLine="576"/>
        <w:jc w:val="left"/>
      </w:pPr>
      <w:r>
        <w:rPr/>
        <w:t xml:space="preserve">(f)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(g) In addition to the requirements of RCW 19.280.030(3), in assessing the cost-effective conservation required under this section, a qualifying utility is encouraged to promote the adoption of air conditioning, as defined in RCW 70A.60.010, with refrigerants not exceeding a global warming potential of 750 and the replacement of stationary refrigeration systems that contain ozone-depleting substances or hydrofluorocarbon refrigerants with a high global warming potential.</w:t>
      </w:r>
    </w:p>
    <w:p>
      <w:pPr>
        <w:spacing w:before="0" w:after="0" w:line="408" w:lineRule="exact"/>
        <w:ind w:left="0" w:right="0" w:firstLine="576"/>
        <w:jc w:val="left"/>
      </w:pPr>
      <w:r>
        <w:rPr/>
        <w:t xml:space="preserve">(h)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(j)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w:t>
      </w:r>
      <w:r>
        <w:t>((</w:t>
      </w:r>
      <w:r>
        <w:rPr>
          <w:strike/>
        </w:rPr>
        <w:t xml:space="preserve">fifteen</w:t>
      </w:r>
      <w:r>
        <w:t>))</w:t>
      </w:r>
      <w:r>
        <w:rPr/>
        <w:t xml:space="preserve"> </w:t>
      </w:r>
      <w:r>
        <w:rPr>
          <w:u w:val="single"/>
        </w:rPr>
        <w:t xml:space="preserve">15</w:t>
      </w:r>
      <w:r>
        <w:rPr/>
        <w:t xml:space="preserve">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 A qualifying utility may use renewable energy credits to meet the requirements of this section, subject to the limitations of this subsection.</w:t>
      </w:r>
    </w:p>
    <w:p>
      <w:pPr>
        <w:spacing w:before="0" w:after="0" w:line="408" w:lineRule="exact"/>
        <w:ind w:left="0" w:right="0" w:firstLine="576"/>
        <w:jc w:val="left"/>
      </w:pPr>
      <w:r>
        <w:rPr/>
        <w:t xml:space="preserve">(i) A renewable energy credit from electricity generated by a resource other than freshwater may be used to meet a requirement applicable to the year in which the credit was created, the year before the year in which the credit was created, or the year after the year in which the credit was created.</w:t>
      </w:r>
    </w:p>
    <w:p>
      <w:pPr>
        <w:spacing w:before="0" w:after="0" w:line="408" w:lineRule="exact"/>
        <w:ind w:left="0" w:right="0" w:firstLine="576"/>
        <w:jc w:val="left"/>
      </w:pPr>
      <w:r>
        <w:rPr/>
        <w:t xml:space="preserve">(ii) A renewable energy credit from electricity generated by freshwater:</w:t>
      </w:r>
    </w:p>
    <w:p>
      <w:pPr>
        <w:spacing w:before="0" w:after="0" w:line="408" w:lineRule="exact"/>
        <w:ind w:left="0" w:right="0" w:firstLine="576"/>
        <w:jc w:val="left"/>
      </w:pPr>
      <w:r>
        <w:rPr/>
        <w:t xml:space="preserve">(A) May only be used to meet a requirement applicable to the year in which the credit was created; and</w:t>
      </w:r>
    </w:p>
    <w:p>
      <w:pPr>
        <w:spacing w:before="0" w:after="0" w:line="408" w:lineRule="exact"/>
        <w:ind w:left="0" w:right="0" w:firstLine="576"/>
        <w:jc w:val="left"/>
      </w:pPr>
      <w:r>
        <w:rPr/>
        <w:t xml:space="preserve">(B) Must be acquired by the qualifying utility through ownership of the generation facility or through a transaction that conveyed both the electricity and the nonpower attributes of the electricity.</w:t>
      </w:r>
    </w:p>
    <w:p>
      <w:pPr>
        <w:spacing w:before="0" w:after="0" w:line="408" w:lineRule="exact"/>
        <w:ind w:left="0" w:right="0" w:firstLine="576"/>
        <w:jc w:val="left"/>
      </w:pPr>
      <w:r>
        <w:rPr/>
        <w:t xml:space="preserve">(iii) A renewable energy credit transferred to an investor-owned utility pursuant to the Bonneville power administration's residential exchange program may not be used by any utility other than the utility receiving the credit from the Bonneville power administration.</w:t>
      </w:r>
    </w:p>
    <w:p>
      <w:pPr>
        <w:spacing w:before="0" w:after="0" w:line="408" w:lineRule="exact"/>
        <w:ind w:left="0" w:right="0" w:firstLine="576"/>
        <w:jc w:val="left"/>
      </w:pPr>
      <w:r>
        <w:rPr/>
        <w:t xml:space="preserve">(iv) Each renewable energy credit may only be used once to meet the requirements of this section and must be retired using procedures of the renewable energy credit tracking system.</w:t>
      </w:r>
    </w:p>
    <w:p>
      <w:pPr>
        <w:spacing w:before="0" w:after="0" w:line="408" w:lineRule="exact"/>
        <w:ind w:left="0" w:right="0" w:firstLine="576"/>
        <w:jc w:val="left"/>
      </w:pPr>
      <w:r>
        <w:rPr/>
        <w:t xml:space="preserve">(f)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rPr/>
        <w:t xml:space="preserve">(g)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rPr/>
        <w:t xml:space="preserve">(h)(i)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rPr/>
        <w:t xml:space="preserve">(i)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rPr/>
        <w:t xml:space="preserve">(j)(i)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rPr/>
        <w:t xml:space="preserve">(k) An industrial facility that hosts a qualified biomass energy facility may only transfer or sell renewable energy credits associated with qualified biomass energy generated at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(l) Beginning January 1, 2020, a qualifying utility may use eligible renewable resources as identified under RCW 19.285.030(12) (g) and (h) to meet its compliance obligation under this subsection (2). A qualifying utility may not transfer or sell these eligible renewable resources to another utility for compliance purposes under this chapter.</w:t>
      </w:r>
    </w:p>
    <w:p>
      <w:pPr>
        <w:spacing w:before="0" w:after="0" w:line="408" w:lineRule="exact"/>
        <w:ind w:left="0" w:right="0" w:firstLine="576"/>
        <w:jc w:val="left"/>
      </w:pPr>
      <w:r>
        <w:rPr/>
        <w:t xml:space="preserve">(m) Beginning January 1, 2030, a qualifying utility is considered to be in compliance with an annual target in (a) of this subsection if the utility uses electricity from: (i) Renewable resources and renewable energy credits as defined in RCW 19.285.030; and (ii) nonemitting electric generation as defined in RCW 19.405.020, in an amount equal to </w:t>
      </w:r>
      <w:r>
        <w:t>((</w:t>
      </w:r>
      <w:r>
        <w:rPr>
          <w:strike/>
        </w:rPr>
        <w:t xml:space="preserve">one hundred</w:t>
      </w:r>
      <w:r>
        <w:t>))</w:t>
      </w:r>
      <w:r>
        <w:rPr/>
        <w:t xml:space="preserve"> </w:t>
      </w:r>
      <w:r>
        <w:rPr>
          <w:u w:val="single"/>
        </w:rPr>
        <w:t xml:space="preserve">100</w:t>
      </w:r>
      <w:r>
        <w:rPr/>
        <w:t xml:space="preserve"> percent of the utility's average annual retail electric load. Nothing in this subsection relieves the requirements of a qualifying utility to comply with subsection (1) of this section.</w:t>
      </w:r>
    </w:p>
    <w:p>
      <w:pPr>
        <w:spacing w:before="0" w:after="0" w:line="408" w:lineRule="exact"/>
        <w:ind w:left="0" w:right="0" w:firstLine="576"/>
        <w:jc w:val="left"/>
      </w:pPr>
      <w:r>
        <w:rPr>
          <w:u w:val="single"/>
        </w:rPr>
        <w:t xml:space="preserve">(n) A qualifying utility shall exclude from its annual targets under this subsection (2) its voluntary renewable energy purchases.</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
      <w:pPr>
        <w:jc w:val="center"/>
      </w:pPr>
      <w:r>
        <w:rPr>
          <w:b/>
        </w:rPr>
        <w:t>--- END ---</w:t>
      </w:r>
    </w:p>
    <w:sectPr>
      <w:pgNumType w:start="1"/>
      <w:footerReference xmlns:r="http://schemas.openxmlformats.org/officeDocument/2006/relationships" r:id="R748eef6a3fe2408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abf19098874a9c" /><Relationship Type="http://schemas.openxmlformats.org/officeDocument/2006/relationships/footer" Target="/word/footer1.xml" Id="R748eef6a3fe24085" /></Relationships>
</file>