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d20c16a7c483a" /></Relationships>
</file>

<file path=word/document.xml><?xml version="1.0" encoding="utf-8"?>
<w:document xmlns:w="http://schemas.openxmlformats.org/wordprocessingml/2006/main">
  <w:body>
    <w:p>
      <w:r>
        <w:t>H-2930.1</w:t>
      </w:r>
    </w:p>
    <w:p>
      <w:pPr>
        <w:jc w:val="center"/>
      </w:pPr>
      <w:r>
        <w:t>_______________________________________________</w:t>
      </w:r>
    </w:p>
    <w:p/>
    <w:p>
      <w:pPr>
        <w:jc w:val="center"/>
      </w:pPr>
      <w:r>
        <w:rPr>
          <w:b/>
        </w:rPr>
        <w:t>SUBSTITUTE HOUSE BILL 1889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Walen, Taylor, Leavitt, Slatter, Ramel, Duerr, Ryu, Ramos, Bateman, Reeves, Reed, Ormsby, Callan, Peterson, Kloba, Macri, Street, Doglio, Bergquist, Mena, Goodman, Thai, Santos, Hackney, Pollet, Fosse, Davis, and Senn)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to receive professional licenses and certifications regardless of immigration or citizenship status; amending RCW 18.235.020, 18.53.060, 18.185.020, 19.230.040, 19.230.090, and 42.45.200; reenacting and amending RCW 18.130.040; adding a new section to chapter 28A.410 RCW; adding a new section to chapter 28A.413 RCW;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businesses and professions included under this title, except for interstate compacts:</w:t>
      </w:r>
    </w:p>
    <w:p>
      <w:pPr>
        <w:spacing w:before="0" w:after="0" w:line="408" w:lineRule="exact"/>
        <w:ind w:left="0" w:right="0" w:firstLine="576"/>
        <w:jc w:val="left"/>
      </w:pPr>
      <w:r>
        <w:rPr/>
        <w:t xml:space="preserve">(1) An individual who is not lawfully present in the United States is eligible for a professional license, commercial license, certificate, permit, or registration as allowed under Title 8 U.S.C. Sec. 1621. A state agency, regulatory authority, or disciplining authority shall not deny an application for a professional license, commercial license, certificate, permit, or registration solely on the basis of a person's immigration or citizenship status if the person has met all other qualifications.</w:t>
      </w:r>
    </w:p>
    <w:p>
      <w:pPr>
        <w:spacing w:before="0" w:after="0" w:line="408" w:lineRule="exact"/>
        <w:ind w:left="0" w:right="0" w:firstLine="576"/>
        <w:jc w:val="left"/>
      </w:pPr>
      <w:r>
        <w:rPr/>
        <w:t xml:space="preserve">(2) An applicant for a professional license, commercial license, certificate, permit, or registration may provide an individual taxpayer identification number in lieu of a social security number when completing an application.</w:t>
      </w:r>
    </w:p>
    <w:p>
      <w:pPr>
        <w:spacing w:before="0" w:after="0" w:line="408" w:lineRule="exact"/>
        <w:ind w:left="0" w:right="0" w:firstLine="576"/>
        <w:jc w:val="left"/>
      </w:pPr>
      <w:r>
        <w:rPr/>
        <w:t xml:space="preserve">(3) A state agency, regulatory authority, or disciplining authority shall not disclose to any person who is not employed by the state agency, regulatory authority, or disciplining authority the social security number or individual taxpayer identification number of an applicant or licensee for any purpose except:</w:t>
      </w:r>
    </w:p>
    <w:p>
      <w:pPr>
        <w:spacing w:before="0" w:after="0" w:line="408" w:lineRule="exact"/>
        <w:ind w:left="0" w:right="0" w:firstLine="576"/>
        <w:jc w:val="left"/>
      </w:pPr>
      <w:r>
        <w:rPr/>
        <w:t xml:space="preserve">(a) Tax purposes;</w:t>
      </w:r>
    </w:p>
    <w:p>
      <w:pPr>
        <w:spacing w:before="0" w:after="0" w:line="408" w:lineRule="exact"/>
        <w:ind w:left="0" w:right="0" w:firstLine="576"/>
        <w:jc w:val="left"/>
      </w:pPr>
      <w:r>
        <w:rPr/>
        <w:t xml:space="preserve">(b) Licensing purposes; and</w:t>
      </w:r>
    </w:p>
    <w:p>
      <w:pPr>
        <w:spacing w:before="0" w:after="0" w:line="408" w:lineRule="exact"/>
        <w:ind w:left="0" w:right="0" w:firstLine="576"/>
        <w:jc w:val="left"/>
      </w:pPr>
      <w:r>
        <w:rPr/>
        <w:t xml:space="preserve">(c) Enforcement of an order for the payment of child support.</w:t>
      </w:r>
    </w:p>
    <w:p>
      <w:pPr>
        <w:spacing w:before="0" w:after="0" w:line="408" w:lineRule="exact"/>
        <w:ind w:left="0" w:right="0" w:firstLine="576"/>
        <w:jc w:val="left"/>
      </w:pPr>
      <w:r>
        <w:rPr/>
        <w:t xml:space="preserve">(4) A social security number or individual taxpayer identification number provided to a state agency, regulatory authority, or disciplining authority is confidential and is exempt from disclosure under chapter 42.56 RCW.</w:t>
      </w:r>
    </w:p>
    <w:p>
      <w:pPr>
        <w:spacing w:before="0" w:after="0" w:line="408" w:lineRule="exact"/>
        <w:ind w:left="0" w:right="0" w:firstLine="576"/>
        <w:jc w:val="left"/>
      </w:pPr>
      <w:r>
        <w:rPr/>
        <w:t xml:space="preserve">(5) Nothing in this section shall affect the requirements to obtain a professional license, commercial license, certificate, permit, or registration that are not directly related to citizenship status or immigration status.</w:t>
      </w:r>
    </w:p>
    <w:p>
      <w:pPr>
        <w:spacing w:before="0" w:after="0" w:line="408" w:lineRule="exact"/>
        <w:ind w:left="0" w:right="0" w:firstLine="576"/>
        <w:jc w:val="left"/>
      </w:pPr>
      <w:r>
        <w:rPr/>
        <w:t xml:space="preserve">(6) This chapter does not apply to licensees under chapters 18.165 and 18.170 RCW and RCW 18.185.250.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w:t>
      </w:r>
      <w:r>
        <w:rPr>
          <w:u w:val="single"/>
        </w:rPr>
        <w:t xml:space="preserve">, chapter 18.--- RCW (the new chapter created in section 11 of this act),</w:t>
      </w:r>
      <w:r>
        <w:rPr/>
        <w:t xml:space="preserve">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permit or certificate as allowed under Title 8 U.S.C. Sec. 1621. The professional educator standards board and the superintendent of public instruction shall not deny an application for a permit or certificate solely on the basis of a person's immigration or citizenship status if the person has met all other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certificate as allowed under Title 8 U.S.C. Sec. 1621. The paraeducator board shall not deny an application for a certificate for a person solely on the basis of a person's immigration or citizenship status if the person has met all other qualifications.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r>
        <w:rPr>
          <w:u w:val="single"/>
        </w:rPr>
        <w:t xml:space="preserve">, which must be in compliance with chapter 18.--- RCW (the new chapter created in section 11 of this act)</w:t>
      </w:r>
      <w:r>
        <w:rPr/>
        <w:t xml:space="preserve">.</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060</w:t>
      </w:r>
      <w:r>
        <w:rPr/>
        <w:t xml:space="preserve"> and 1995 c 198 s 6 are each amended to read as follows:</w:t>
      </w:r>
    </w:p>
    <w:p>
      <w:pPr>
        <w:spacing w:before="0" w:after="0" w:line="408" w:lineRule="exact"/>
        <w:ind w:left="0" w:right="0" w:firstLine="576"/>
        <w:jc w:val="left"/>
      </w:pPr>
      <w:r>
        <w:rPr/>
        <w:t xml:space="preserve">From and after January 1, 1940, in order to be eligible for examination for registration, a person </w:t>
      </w:r>
      <w:r>
        <w:t>((</w:t>
      </w:r>
      <w:r>
        <w:rPr>
          <w:strike/>
        </w:rPr>
        <w:t xml:space="preserve">shall be a citizen of the United States of America, who</w:t>
      </w:r>
      <w:r>
        <w:t>))</w:t>
      </w:r>
      <w:r>
        <w:rPr/>
        <w:t xml:space="preserve"> shall have a preliminary education of or equal to four years in a state accredited high school and has completed a full attendance course in a regularly chartered school of optometry maintaining a standard which is deemed sufficient and satisfactory by the optometry board, who is a person of good moral character, who has a visual acuity in at least one eye, of a standard known as 20/40 under correction: PROVIDED, That from and after January 1, 1975, in order to be eligible for examination for a license, a person shall have the following qualifications:</w:t>
      </w:r>
    </w:p>
    <w:p>
      <w:pPr>
        <w:spacing w:before="0" w:after="0" w:line="408" w:lineRule="exact"/>
        <w:ind w:left="0" w:right="0" w:firstLine="576"/>
        <w:jc w:val="left"/>
      </w:pPr>
      <w:r>
        <w:rPr/>
        <w:t xml:space="preserve">(1) Be a graduate of a state accredited high school or its equivalent;</w:t>
      </w:r>
    </w:p>
    <w:p>
      <w:pPr>
        <w:spacing w:before="0" w:after="0" w:line="408" w:lineRule="exact"/>
        <w:ind w:left="0" w:right="0" w:firstLine="576"/>
        <w:jc w:val="left"/>
      </w:pPr>
      <w:r>
        <w:rPr/>
        <w:t xml:space="preserve">(2) Have a diploma or other certificate of completion from an accredited college of optometry or school of optometry, maintaining a standard which is deemed sufficient and satisfactory by the optometry board, conferring its degree of doctor of optometry or its equivalent, maintaining a course of four scholastic years in addition to preprofessional college-level studies, and teaching substantially all of the following subjects: General anatomy, anatomy of the eyes, physiology, physics, chemistry, pharmacology, biology, bacteriology, general pathology, ocular pathology, ocular neurology, ocular myology, psychology, physiological optics, optometrical mechanics, clinical optometry, visual field charting and orthoptics, general laws of optics and refraction and use of the ophthalmoscope, retinoscope and other clinical instruments necessary in the practice of optometry; and</w:t>
      </w:r>
    </w:p>
    <w:p>
      <w:pPr>
        <w:spacing w:before="0" w:after="0" w:line="408" w:lineRule="exact"/>
        <w:ind w:left="0" w:right="0" w:firstLine="576"/>
        <w:jc w:val="left"/>
      </w:pPr>
      <w:r>
        <w:rPr/>
        <w:t xml:space="preserve">(3) Be of good moral character.</w:t>
      </w:r>
    </w:p>
    <w:p>
      <w:pPr>
        <w:spacing w:before="0" w:after="0" w:line="408" w:lineRule="exact"/>
        <w:ind w:left="0" w:right="0" w:firstLine="576"/>
        <w:jc w:val="left"/>
      </w:pPr>
      <w:r>
        <w:rPr/>
        <w:t xml:space="preserve">Such person shall file an application for an examination and license with said board at any time thirty days prior to the time fixed for such examination, or at a later date if approved by the board, and such application must be on forms approved by the board, and properly attested, and if found to be in accordance with the provisions of this chapter shall entitle the applicant upon payment of the proper fee, to take the examination prescribed by the board. Such examination shall not be out of keeping with the established teachings and adopted textbooks of the recognized schools of optometry, and shall be confined to such subjects and practices as are recognized as essential to the practice of optometry. All candidates without discrimination, who shall successfully pass the prescribed examination, shall be registered by the board and shall, upon payment of the proper fee, be issued a license. Any license to practice optometry in this state issued by the secretary, and which shall be in full force and effect at the time of passage of chapter 69, Laws of 1975 1st ex. sess., shall be continued.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or resident alien of the United States;</w:t>
      </w:r>
    </w:p>
    <w:p>
      <w:pPr>
        <w:spacing w:before="0" w:after="0" w:line="408" w:lineRule="exact"/>
        <w:ind w:left="0" w:right="0" w:firstLine="576"/>
        <w:jc w:val="left"/>
      </w:pPr>
      <w:r>
        <w:rPr>
          <w:strike/>
        </w:rPr>
        <w:t xml:space="preserve">(3)</w:t>
      </w:r>
      <w:r>
        <w:t>))</w:t>
      </w:r>
      <w:r>
        <w:rPr/>
        <w:t xml:space="preserve"> Not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a bail bond agency or be licensed as a bail bond agency; and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2017 c 30 s 4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w:t>
      </w:r>
      <w:r>
        <w:t>((</w:t>
      </w:r>
      <w:r>
        <w:rPr>
          <w:strike/>
        </w:rPr>
        <w:t xml:space="preserve">,</w:t>
      </w:r>
      <w:r>
        <w:t>))</w:t>
      </w:r>
      <w:r>
        <w:rPr/>
        <w:t xml:space="preserve"> </w:t>
      </w:r>
      <w:r>
        <w:rPr>
          <w:u w:val="single"/>
        </w:rPr>
        <w:t xml:space="preserve">or tax payer identification number, and</w:t>
      </w:r>
      <w:r>
        <w:rPr/>
        <w:t xml:space="preserve"> employment history for the five-year period preceding the submission of the application of the applicant's proposed responsible individual</w:t>
      </w:r>
      <w:r>
        <w:t>((</w:t>
      </w:r>
      <w:r>
        <w:rPr>
          <w:strike/>
        </w:rPr>
        <w:t xml:space="preserve">, and documentation that the proposed responsible individual is a citizen of the United States or has obtained legal immigration status to work in the United States</w:t>
      </w:r>
      <w:r>
        <w:t>))</w:t>
      </w:r>
      <w:r>
        <w:rPr/>
        <w:t xml:space="preserve">. In addition, the </w:t>
      </w:r>
      <w:r>
        <w:rPr>
          <w:u w:val="single"/>
        </w:rPr>
        <w:t xml:space="preserve">proposed responsible individual must reside in the United States, and the</w:t>
      </w:r>
      <w:r>
        <w:rPr/>
        <w:t xml:space="preserv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responsible individual,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32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t xml:space="preserve">(7)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090</w:t>
      </w:r>
      <w:r>
        <w:rPr/>
        <w:t xml:space="preserve"> and 2003 c 287 s 11 are each amended to read as follows:</w:t>
      </w:r>
    </w:p>
    <w:p>
      <w:pPr>
        <w:spacing w:before="0" w:after="0" w:line="408" w:lineRule="exact"/>
        <w:ind w:left="0" w:right="0" w:firstLine="576"/>
        <w:jc w:val="left"/>
      </w:pPr>
      <w:r>
        <w:rPr/>
        <w:t xml:space="preserve">(1) A person applying for a currency exchange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 and the legal name, residential and business addresses, date of birth, social security number </w:t>
      </w:r>
      <w:r>
        <w:rPr>
          <w:u w:val="single"/>
        </w:rPr>
        <w:t xml:space="preserve">or tax payer identification number</w:t>
      </w:r>
      <w:r>
        <w:rPr/>
        <w:t xml:space="preserve">, employment history for the five-year period preceding the submission of the application; and upon request of the director, fingerprints of the applicant's proposed responsible individual </w:t>
      </w:r>
      <w:r>
        <w:t>((</w:t>
      </w:r>
      <w:r>
        <w:rPr>
          <w:strike/>
        </w:rPr>
        <w:t xml:space="preserve">and documentation that the proposed responsible individual is a citizen of the United States or has obtained legal immigration status to work in the United States</w:t>
      </w:r>
      <w:r>
        <w:t>))</w:t>
      </w:r>
      <w:r>
        <w:rPr>
          <w:u w:val="single"/>
        </w:rPr>
        <w:t xml:space="preserve">. In addition, the proposed responsible individual must reside in the United States</w:t>
      </w:r>
      <w:r>
        <w:rPr/>
        <w:t xml:space="preserve">;</w:t>
      </w:r>
    </w:p>
    <w:p>
      <w:pPr>
        <w:spacing w:before="0" w:after="0" w:line="408" w:lineRule="exact"/>
        <w:ind w:left="0" w:right="0" w:firstLine="576"/>
        <w:jc w:val="left"/>
      </w:pPr>
      <w:r>
        <w:rPr/>
        <w:t xml:space="preserve">(b) For the ten-year period preceding the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(c) A description of any money services previously provided by the applicant and the money services that the applicant seeks to provide in this state;</w:t>
      </w:r>
    </w:p>
    <w:p>
      <w:pPr>
        <w:spacing w:before="0" w:after="0" w:line="408" w:lineRule="exact"/>
        <w:ind w:left="0" w:right="0" w:firstLine="576"/>
        <w:jc w:val="left"/>
      </w:pPr>
      <w:r>
        <w:rPr/>
        <w:t xml:space="preserve">(d) A list of the applicant's proposed authorized delegates and the locations in this state where the applicant and its authorized delegates propose to engage in currency exchange;</w:t>
      </w:r>
    </w:p>
    <w:p>
      <w:pPr>
        <w:spacing w:before="0" w:after="0" w:line="408" w:lineRule="exact"/>
        <w:ind w:left="0" w:right="0" w:firstLine="576"/>
        <w:jc w:val="left"/>
      </w:pPr>
      <w:r>
        <w:rPr/>
        <w:t xml:space="preserve">(e) A list of other states in which the applicant engages in currency exchange or provides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(f)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(g)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(h) A sample form of contract for authorized delegates, if applicable;</w:t>
      </w:r>
    </w:p>
    <w:p>
      <w:pPr>
        <w:spacing w:before="0" w:after="0" w:line="408" w:lineRule="exact"/>
        <w:ind w:left="0" w:right="0" w:firstLine="576"/>
        <w:jc w:val="left"/>
      </w:pPr>
      <w:r>
        <w:rPr/>
        <w:t xml:space="preserve">(i) A description of the source of money and credit to be used by the applicant to provide currency exchange; and</w:t>
      </w:r>
    </w:p>
    <w:p>
      <w:pPr>
        <w:spacing w:before="0" w:after="0" w:line="408" w:lineRule="exact"/>
        <w:ind w:left="0" w:right="0" w:firstLine="576"/>
        <w:jc w:val="left"/>
      </w:pPr>
      <w:r>
        <w:rPr/>
        <w:t xml:space="preserve">(j)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for each executive officer, board director, or person that has control of the applicant; and</w:t>
      </w:r>
    </w:p>
    <w:p>
      <w:pPr>
        <w:spacing w:before="0" w:after="0" w:line="408" w:lineRule="exact"/>
        <w:ind w:left="0" w:right="0" w:firstLine="576"/>
        <w:jc w:val="left"/>
      </w:pPr>
      <w:r>
        <w:rPr/>
        <w:t xml:space="preserve">(f) A list of any criminal convictions, material litigation, and any litigation related to the provision of money services, in which any executive officer, board director, or person in control of the applicant has been involved in the ten-year period preceding the submission of the application.</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currency exchange license under this chapter. The license fee must be refunded if the application is denied.</w:t>
      </w:r>
    </w:p>
    <w:p>
      <w:pPr>
        <w:spacing w:before="0" w:after="0" w:line="408" w:lineRule="exact"/>
        <w:ind w:left="0" w:right="0" w:firstLine="576"/>
        <w:jc w:val="left"/>
      </w:pPr>
      <w:r>
        <w:rPr/>
        <w:t xml:space="preserve">(4) The director may waive one or more requirements of subsection (1) or (2)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200</w:t>
      </w:r>
      <w:r>
        <w:rPr/>
        <w:t xml:space="preserve"> and 2017 c 281 s 22 are each amended to read as follows:</w:t>
      </w:r>
    </w:p>
    <w:p>
      <w:pPr>
        <w:spacing w:before="0" w:after="0" w:line="408" w:lineRule="exact"/>
        <w:ind w:left="0" w:right="0" w:firstLine="576"/>
        <w:jc w:val="left"/>
      </w:pPr>
      <w:r>
        <w:rPr/>
        <w:t xml:space="preserve">(1) An individual qualified under subsection (2) of this section may apply to the director for a commission as a notary public. The applicant shall comply with and provide the information required by rules established by the director and pay any application fee.</w:t>
      </w:r>
    </w:p>
    <w:p>
      <w:pPr>
        <w:spacing w:before="0" w:after="0" w:line="408" w:lineRule="exact"/>
        <w:ind w:left="0" w:right="0" w:firstLine="576"/>
        <w:jc w:val="left"/>
      </w:pPr>
      <w:r>
        <w:rPr/>
        <w:t xml:space="preserve">(2) An applicant for a commission as a notary public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w:t>
      </w:r>
      <w:r>
        <w:t>((</w:t>
      </w:r>
      <w:r>
        <w:rPr>
          <w:strike/>
        </w:rPr>
        <w:t xml:space="preserve">Be a citizen or permanent legal resident of the United States;</w:t>
      </w:r>
    </w:p>
    <w:p>
      <w:pPr>
        <w:spacing w:before="0" w:after="0" w:line="408" w:lineRule="exact"/>
        <w:ind w:left="0" w:right="0" w:firstLine="576"/>
        <w:jc w:val="left"/>
      </w:pPr>
      <w:r>
        <w:rPr>
          <w:strike/>
        </w:rPr>
        <w:t xml:space="preserve">(c)</w:t>
      </w:r>
      <w:r>
        <w:t>))</w:t>
      </w:r>
      <w:r>
        <w:rPr/>
        <w:t xml:space="preserve"> Be a resident of or have a place of employment or practice in this state;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 able to read and write English;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 be disqualified to receive a commission under RCW 42.45.210.</w:t>
      </w:r>
    </w:p>
    <w:p>
      <w:pPr>
        <w:spacing w:before="0" w:after="0" w:line="408" w:lineRule="exact"/>
        <w:ind w:left="0" w:right="0" w:firstLine="576"/>
        <w:jc w:val="left"/>
      </w:pPr>
      <w:r>
        <w:rPr/>
        <w:t xml:space="preserve">(3) Before issuance of a commission as a notary public, an applicant for the commission shall execute an oath of office and submit it to the department in the format prescribed by the director in rule.</w:t>
      </w:r>
    </w:p>
    <w:p>
      <w:pPr>
        <w:spacing w:before="0" w:after="0" w:line="408" w:lineRule="exact"/>
        <w:ind w:left="0" w:right="0" w:firstLine="576"/>
        <w:jc w:val="left"/>
      </w:pPr>
      <w:r>
        <w:rPr/>
        <w:t xml:space="preserve">(4) Before issuance of a commission as a notary public, the applicant for a commission shall submit to the director an assurance in the form of a surety bond in the amount established by the director in rule. The assurance must be issued by a surety or other entity licensed or authorized to write surety bonds in this state. The assurance must be effective for a four-year term or for a term that expires on the date the notary public's commission expires. The assurance must cover acts performed during the term of the notary public's commission and must be in the form prescribed by the director. If a notary public violates law with respect to notaries public in this state, the surety or issuing entity is liable under the assurance. The surety or issuing entity shall give at least thirty days' notice to the department before canceling the assurance. The surety or issuing entity shall notify the department not later than thirty days after making a payment to a claimant under the assurance. A notary public may perform notarial acts in this state only during the period that a valid assurance is on file with the department.</w:t>
      </w:r>
    </w:p>
    <w:p>
      <w:pPr>
        <w:spacing w:before="0" w:after="0" w:line="408" w:lineRule="exact"/>
        <w:ind w:left="0" w:right="0" w:firstLine="576"/>
        <w:jc w:val="left"/>
      </w:pPr>
      <w:r>
        <w:rPr/>
        <w:t xml:space="preserve">(5) On compliance with this section, the director shall issue a commission as a notary public to an applicant for a term of four years or for a term that expires on the date of expiration of the assurance, whichever comes first.</w:t>
      </w:r>
    </w:p>
    <w:p>
      <w:pPr>
        <w:spacing w:before="0" w:after="0" w:line="408" w:lineRule="exact"/>
        <w:ind w:left="0" w:right="0" w:firstLine="576"/>
        <w:jc w:val="left"/>
      </w:pPr>
      <w:r>
        <w:rPr/>
        <w:t xml:space="preserve">(6) A commission to act as a notary public authorizes the notary public to perform notarial acts. The commission does not provide the notary public any immunity or benefit conferred by law of this state on public officials or employees.</w:t>
      </w:r>
    </w:p>
    <w:p>
      <w:pPr>
        <w:spacing w:before="0" w:after="0" w:line="408" w:lineRule="exact"/>
        <w:ind w:left="0" w:right="0" w:firstLine="576"/>
        <w:jc w:val="left"/>
      </w:pPr>
      <w:r>
        <w:rPr/>
        <w:t xml:space="preserve">(7) An individual qualified under (a) of this subsection may apply to the director for a commission as an electronic records notary public. The applicant shall comply with and provide the information required by rules established by the director and pay the relevant application fee.</w:t>
      </w:r>
    </w:p>
    <w:p>
      <w:pPr>
        <w:spacing w:before="0" w:after="0" w:line="408" w:lineRule="exact"/>
        <w:ind w:left="0" w:right="0" w:firstLine="576"/>
        <w:jc w:val="left"/>
      </w:pPr>
      <w:r>
        <w:rPr/>
        <w:t xml:space="preserve">(a) An applicant for a commission as an electronic records notary public must hold a commission as notary public.</w:t>
      </w:r>
    </w:p>
    <w:p>
      <w:pPr>
        <w:spacing w:before="0" w:after="0" w:line="408" w:lineRule="exact"/>
        <w:ind w:left="0" w:right="0" w:firstLine="576"/>
        <w:jc w:val="left"/>
      </w:pPr>
      <w:r>
        <w:rPr/>
        <w:t xml:space="preserve">(b) An electronic records notary public commission may take the form of an endorsement to the notary public commission if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6d01bd3b924e43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f0d1900cf4ea1" /><Relationship Type="http://schemas.openxmlformats.org/officeDocument/2006/relationships/footer" Target="/word/footer1.xml" Id="R6d01bd3b924e4396" /></Relationships>
</file>