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4a74ec51de4ba7" /></Relationships>
</file>

<file path=word/document.xml><?xml version="1.0" encoding="utf-8"?>
<w:document xmlns:w="http://schemas.openxmlformats.org/wordprocessingml/2006/main">
  <w:body>
    <w:p>
      <w:r>
        <w:t>H-2213.1</w:t>
      </w:r>
    </w:p>
    <w:p>
      <w:pPr>
        <w:jc w:val="center"/>
      </w:pPr>
      <w:r>
        <w:t>_______________________________________________</w:t>
      </w:r>
    </w:p>
    <w:p/>
    <w:p>
      <w:pPr>
        <w:jc w:val="center"/>
      </w:pPr>
      <w:r>
        <w:rPr>
          <w:b/>
        </w:rPr>
        <w:t>HOUSE BILL 1887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Chapman, Walen, and Reeves</w:t>
      </w:r>
    </w:p>
    <w:p/>
    <w:p>
      <w:r>
        <w:rPr>
          <w:t xml:space="preserve">Prefiled 12/06/23.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consumer impacts of the climate commitment act by creating greater administrability of emissions exemptions and improving the transparency and business practices under the act; amending RCW 70A.65.010, 70A.65.070, 70A.65.150, 70A.65.080, 46.17.350, 46.17.355, and 70A.65.100; adding new sections to chapter 70A.65 RCW; creating new sections;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Stabilizing Cap and Invest Allowance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70A</w:t>
      </w:r>
      <w:r>
        <w:rPr/>
        <w:t xml:space="preserve">.</w:t>
      </w:r>
      <w:r>
        <w:t xml:space="preserve">65</w:t>
      </w:r>
      <w:r>
        <w:rPr/>
        <w:t xml:space="preserve">.</w:t>
      </w:r>
      <w:r>
        <w:t xml:space="preserve">010</w:t>
      </w:r>
      <w:r>
        <w:rPr/>
        <w:t xml:space="preserve"> and 2022 c 181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municipal wastewater and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fuels derived from biomass that </w:t>
      </w:r>
      <w:r>
        <w:t>((</w:t>
      </w:r>
      <w:r>
        <w:rPr>
          <w:strike/>
        </w:rPr>
        <w:t xml:space="preserve">have at least 40 percent lower greenhouse gas emissions based on a full life-cycle analysis when compared to petroleum fuels for which biofuels</w:t>
      </w:r>
      <w:r>
        <w:t>))</w:t>
      </w:r>
      <w:r>
        <w:rPr/>
        <w:t xml:space="preserve"> are capable as serving as a substitute </w:t>
      </w:r>
      <w:r>
        <w:rPr>
          <w:u w:val="single"/>
        </w:rPr>
        <w:t xml:space="preserve">for petroleum fuels</w:t>
      </w:r>
      <w:r>
        <w:rPr/>
        <w:t xml:space="preserv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RCW 70A.65.080.</w:t>
      </w:r>
    </w:p>
    <w:p>
      <w:pPr>
        <w:spacing w:before="0" w:after="0" w:line="408" w:lineRule="exact"/>
        <w:ind w:left="0" w:right="0" w:firstLine="576"/>
        <w:jc w:val="left"/>
      </w:pPr>
      <w:r>
        <w:rPr/>
        <w:t xml:space="preserve">(23) "Covered entity" means a person that is designated by the department as subject to RCW 70A.65.060 through 70A.65.210.</w:t>
      </w:r>
    </w:p>
    <w:p>
      <w:pPr>
        <w:spacing w:before="0" w:after="0" w:line="408" w:lineRule="exact"/>
        <w:ind w:left="0" w:right="0" w:firstLine="576"/>
        <w:jc w:val="left"/>
      </w:pPr>
      <w:r>
        <w:rPr/>
        <w:t xml:space="preserve">(24) "Cumulative environmental health impact" has the same meaning as provided in RCW 70A.02.010.</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RCW 70A.65.080(1)(c);</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(f)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rPr/>
        <w:t xml:space="preserve">(g) If the importer identified under (f) of this subsection has not voluntarily elected to comply with the program, then the electricity importer is the public body or cooperative customer or direct service industrial customer; or</w:t>
      </w:r>
    </w:p>
    <w:p>
      <w:pPr>
        <w:spacing w:before="0" w:after="0" w:line="408" w:lineRule="exact"/>
        <w:ind w:left="0" w:right="0" w:firstLine="576"/>
        <w:jc w:val="left"/>
      </w:pPr>
      <w:r>
        <w:rPr/>
        <w:t xml:space="preserve">(h) For electricity from facilities allocated to a consumer-owned utility inside the state of Washington from a multijurisdictional consumer-owned utility, the electricity importer is the consumer-owned utility inside the state of Washington.</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70A.02.010.</w:t>
      </w:r>
    </w:p>
    <w:p>
      <w:pPr>
        <w:spacing w:before="0" w:after="0" w:line="408" w:lineRule="exact"/>
        <w:ind w:left="0" w:right="0" w:firstLine="576"/>
        <w:jc w:val="left"/>
      </w:pPr>
      <w:r>
        <w:rPr/>
        <w:t xml:space="preserve">(32) "Environmental harm" has the same meaning as defined in RCW 70A.02.010.</w:t>
      </w:r>
    </w:p>
    <w:p>
      <w:pPr>
        <w:spacing w:before="0" w:after="0" w:line="408" w:lineRule="exact"/>
        <w:ind w:left="0" w:right="0" w:firstLine="576"/>
        <w:jc w:val="left"/>
      </w:pPr>
      <w:r>
        <w:rPr/>
        <w:t xml:space="preserve">(33) "Environmental impacts" has the same meaning as defined in RCW 70A.02.010.</w:t>
      </w:r>
    </w:p>
    <w:p>
      <w:pPr>
        <w:spacing w:before="0" w:after="0" w:line="408" w:lineRule="exact"/>
        <w:ind w:left="0" w:right="0" w:firstLine="576"/>
        <w:jc w:val="left"/>
      </w:pPr>
      <w:r>
        <w:rPr/>
        <w:t xml:space="preserve">(34) "Environmental justice" has the same meaning as defined in RCW 70A.02.010.</w:t>
      </w:r>
    </w:p>
    <w:p>
      <w:pPr>
        <w:spacing w:before="0" w:after="0" w:line="408" w:lineRule="exact"/>
        <w:ind w:left="0" w:right="0" w:firstLine="576"/>
        <w:jc w:val="left"/>
      </w:pPr>
      <w:r>
        <w:rPr/>
        <w:t xml:space="preserve">(35) "Environmental justice assessment" has the same meaning as identified in RCW 70A.02.060.</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70A.02.010.</w:t>
      </w:r>
    </w:p>
    <w:p>
      <w:pPr>
        <w:spacing w:before="0" w:after="0" w:line="408" w:lineRule="exact"/>
        <w:ind w:left="0" w:right="0" w:firstLine="576"/>
        <w:jc w:val="left"/>
      </w:pPr>
      <w:r>
        <w:rPr/>
        <w:t xml:space="preserve">(55) "Person" has the same meaning as defined in RCW 70A.15.2200(5)(h)(iii).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70A.15.2200(5)(h)(ii).</w:t>
      </w:r>
    </w:p>
    <w:p>
      <w:pPr>
        <w:spacing w:before="0" w:after="0" w:line="408" w:lineRule="exact"/>
        <w:ind w:left="0" w:right="0" w:firstLine="576"/>
        <w:jc w:val="left"/>
      </w:pPr>
      <w:r>
        <w:rPr/>
        <w:t xml:space="preserve">(65) "Tribal lands" has the same meaning as defined in RCW 70A.02.010.</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070</w:t>
      </w:r>
      <w:r>
        <w:rPr/>
        <w:t xml:space="preserve"> and 2022 c 181 s 1 are each amended to read as follows:</w:t>
      </w:r>
    </w:p>
    <w:p>
      <w:pPr>
        <w:spacing w:before="0" w:after="0" w:line="408" w:lineRule="exact"/>
        <w:ind w:left="0" w:right="0" w:firstLine="576"/>
        <w:jc w:val="left"/>
      </w:pP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2015 through 2019.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 calendar years 2027 through 2030, that will be distributed from January 1, 2027, through December 31, 2030.</w:t>
      </w:r>
    </w:p>
    <w:p>
      <w:pPr>
        <w:spacing w:before="0" w:after="0" w:line="408" w:lineRule="exact"/>
        <w:ind w:left="0" w:right="0" w:firstLine="576"/>
        <w:jc w:val="left"/>
      </w:pPr>
      <w:r>
        <w:rPr/>
        <w:t xml:space="preserve">(c) By October 1, 2028, the department shall adopt by rule the annual allowance budgets for calendar years 2031 through 2040.</w:t>
      </w:r>
    </w:p>
    <w:p>
      <w:pPr>
        <w:spacing w:before="0" w:after="0" w:line="408" w:lineRule="exact"/>
        <w:ind w:left="0" w:right="0" w:firstLine="576"/>
        <w:jc w:val="left"/>
      </w:pPr>
      <w:r>
        <w:rPr>
          <w:u w:val="single"/>
        </w:rPr>
        <w:t xml:space="preserve">(d)(i) By July 1, 2024, the department must amend its rules, including WAC 173-446-200 and 173-446-210, to align with the table and requirements in (d)(ii) of this subsection specifying annual allowance budgets for calendar years 2023 through 2049.</w:t>
      </w:r>
    </w:p>
    <w:p>
      <w:pPr>
        <w:spacing w:before="0" w:after="0" w:line="408" w:lineRule="exact"/>
        <w:ind w:left="0" w:right="0" w:firstLine="576"/>
        <w:jc w:val="left"/>
      </w:pPr>
      <w:r>
        <w:rPr>
          <w:u w:val="single"/>
        </w:rPr>
        <w:t xml:space="preserve">(ii)(A) Table 001 displays the total program annual allowance budgets for calendar years 2023 through 2026 required by this subsection (1)(d)(ii).</w:t>
      </w:r>
    </w:p>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Table 001: Total program allowance budget for calendar year 2023 through 2026 established in this subsection (1)(d)(ii).</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p>
        </w:tc>
      </w:tr>
      <w:tr>
        <w:tc>
          <w:tcPr>
            <w:tcW w:w="1620"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Emissions Year</w:t>
            </w:r>
          </w:p>
        </w:tc>
        <w:tc>
          <w:tcPr>
            <w:tcW w:w="1620" w:type="dxa"/>
            <w:vAlign w:val="top"/>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Total Covered Emissions</w:t>
            </w:r>
          </w:p>
        </w:tc>
        <w:tc>
          <w:tcPr>
            <w:tcW w:w="1620"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Change from Previous Year</w:t>
            </w:r>
          </w:p>
        </w:tc>
      </w:tr>
      <w:tr>
        <w:tc>
          <w:tcPr>
            <w:vMerge/>
            <w:tcBorders>
              <w:bottom w:val="single"/>
            </w:tcBorders>
            <w:tcBorders>
              <w:top w:val="single"/>
            </w:tcBorders>
            <w:tcBorders>
              <w:left w:val="single"/>
            </w:tcBorders>
            <w:tcBorders>
              <w:right w:val="single"/>
            </w:tcBorders>
          </w:tcP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(MT CO2e)</w:t>
            </w:r>
          </w:p>
        </w:tc>
        <w:tc>
          <w:tcPr>
            <w:vMerge/>
            <w:tcBorders>
              <w:bottom w:val="single"/>
            </w:tcBorders>
            <w:tcBorders>
              <w:top w:val="single"/>
            </w:tcBorders>
            <w:tcBorders>
              <w:left w:val="single"/>
            </w:tcBorders>
            <w:tcBorders>
              <w:right w:val="single"/>
            </w:tcBorders>
          </w:tcPr>
          <w:p/>
        </w:tc>
      </w:tr>
      <w:tr>
        <w:tc>
          <w:tcPr>
            <w:tcW w:w="16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63,288,565</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N/A</w:t>
            </w:r>
          </w:p>
        </w:tc>
      </w:tr>
      <w:tr>
        <w:tc>
          <w:tcPr>
            <w:tcW w:w="16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2024</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61,010,177</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 percent</w:t>
            </w:r>
          </w:p>
        </w:tc>
      </w:tr>
      <w:tr>
        <w:tc>
          <w:tcPr>
            <w:tcW w:w="16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2025</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58,813,810</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 percent</w:t>
            </w:r>
          </w:p>
        </w:tc>
      </w:tr>
      <w:tr>
        <w:tc>
          <w:tcPr>
            <w:tcW w:w="16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2026</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56,696,513</w:t>
            </w:r>
          </w:p>
        </w:tc>
        <w:tc>
          <w:tcPr>
            <w:tcW w:w="16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 percent</w:t>
            </w:r>
          </w:p>
        </w:tc>
      </w:tr>
    </w:tbl>
    <w:p>
      <w:pPr>
        <w:spacing w:before="120" w:after="0" w:line="408" w:lineRule="exact"/>
        <w:ind w:left="0" w:right="0" w:firstLine="576"/>
        <w:jc w:val="left"/>
      </w:pPr>
      <w:r>
        <w:rPr>
          <w:u w:val="single"/>
        </w:rPr>
        <w:t xml:space="preserve">(B) The total program annual allowance budgets for each calendar year from 2027 through 2040 must decrease annually relative to the previous year by an additional 3.6 percent.</w:t>
      </w:r>
    </w:p>
    <w:p>
      <w:pPr>
        <w:spacing w:before="0" w:after="0" w:line="408" w:lineRule="exact"/>
        <w:ind w:left="0" w:right="0" w:firstLine="576"/>
        <w:jc w:val="left"/>
      </w:pPr>
      <w:r>
        <w:rPr>
          <w:u w:val="single"/>
        </w:rPr>
        <w:t xml:space="preserve">(C) The total program annual allowance budgets for each calendar year from 2041 through 2049 must decrease annually relative to the previous year by an additional 3.1 percent.</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Except as otherwise provided in subsection (1)(d) of this section, the</w:t>
      </w:r>
      <w:r>
        <w:rPr/>
        <w:t xml:space="preserv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RCW 70A.65.170,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RCW 70A.65.110 through 70A.65.130 or through auctions under RCW 70A.65.100, does not expire and may be held or banked consistent with RCW 70A.65.100(6) and 70A.65.150(1).</w:t>
      </w:r>
    </w:p>
    <w:p>
      <w:pPr>
        <w:spacing w:before="0" w:after="0" w:line="408" w:lineRule="exact"/>
        <w:ind w:left="0" w:right="0" w:firstLine="576"/>
        <w:jc w:val="left"/>
      </w:pPr>
      <w:r>
        <w:rPr/>
        <w:t xml:space="preserve">(3) The department must complete evaluations by December 31, 2027, and by December 31, 2035,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31, 2040, and by December 31, 2045,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RCW 70A.65.110.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150</w:t>
      </w:r>
      <w:r>
        <w:rPr/>
        <w:t xml:space="preserve"> and 2022 c 181 s 6 are each amended to read as follows:</w:t>
      </w:r>
    </w:p>
    <w:p>
      <w:pPr>
        <w:spacing w:before="0" w:after="0" w:line="408" w:lineRule="exact"/>
        <w:ind w:left="0" w:right="0" w:firstLine="576"/>
        <w:jc w:val="left"/>
      </w:pP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 reserve auction floor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two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(3)(a) The department shall adopt rules for holding auctions of allowances from the price containment reserve when the settlement prices in the preceding auction exceed the adopted reserve auction floor price. The auction must be separate from auctions of other allowances.</w:t>
      </w:r>
    </w:p>
    <w:p>
      <w:pPr>
        <w:spacing w:before="0" w:after="0" w:line="408" w:lineRule="exact"/>
        <w:ind w:left="0" w:right="0" w:firstLine="576"/>
        <w:jc w:val="left"/>
      </w:pPr>
      <w:r>
        <w:rPr/>
        <w:t xml:space="preserve">(b) Allowances must also be distributed from the allowance price containment reserve by auction when new covered and opt-in entities enter the program and allowances in the emissions containment reserve under RCW 70A.65.140(5) are exhausted.</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RCW 70A.65.100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 </w:t>
      </w:r>
      <w:r>
        <w:rPr>
          <w:u w:val="single"/>
        </w:rPr>
        <w:t xml:space="preserve">in conformance with subsection (7) of this section.</w:t>
      </w:r>
    </w:p>
    <w:p>
      <w:pPr>
        <w:spacing w:before="0" w:after="0" w:line="408" w:lineRule="exact"/>
        <w:ind w:left="0" w:right="0" w:firstLine="576"/>
        <w:jc w:val="left"/>
      </w:pPr>
      <w:r>
        <w:rPr>
          <w:u w:val="single"/>
        </w:rPr>
        <w:t xml:space="preserve">(7)(a) In addition to amounts the department placed into the allowance price containment reserve account pursuant to WAC 173-446-370, as it existed on January 1, 2023, the department must place an additional five percent of the annual allowance budgets for calendar years 2031 through 2042 into the allowance price containment reserve account by July 1, 2024.</w:t>
      </w:r>
    </w:p>
    <w:p>
      <w:pPr>
        <w:spacing w:before="0" w:after="0" w:line="408" w:lineRule="exact"/>
        <w:ind w:left="0" w:right="0" w:firstLine="576"/>
        <w:jc w:val="left"/>
      </w:pPr>
      <w:r>
        <w:rPr>
          <w:u w:val="single"/>
        </w:rPr>
        <w:t xml:space="preserve">(b) All of the additional allowances placed in the allowance price containment reserve account pursuant to (a) of this subsection must be made available in separate auctions held during calendar year 2024 and must be in addition to any normally scheduled allowance price containment reserve auctions. Any remaining unsold allowances may be made available in separate allowance price containment reserve auctions in subsequent years.</w:t>
      </w:r>
    </w:p>
    <w:p>
      <w:pPr>
        <w:spacing w:before="0" w:after="0" w:line="408" w:lineRule="exact"/>
        <w:ind w:left="0" w:right="0" w:firstLine="576"/>
        <w:jc w:val="left"/>
      </w:pPr>
      <w:r>
        <w:rPr>
          <w:u w:val="single"/>
        </w:rPr>
        <w:t xml:space="preserve">(c) By March 1, 2024, the department must adopt rules implementing the requirements of this subsection</w:t>
      </w:r>
      <w:r>
        <w:rPr/>
        <w:t xml:space="preserv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Fuel Price Transparency and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By April 1, 2024, the joint transportation committee must convene a work group to examine consumer motor vehicle fuel pricing in Washington state.</w:t>
      </w:r>
    </w:p>
    <w:p>
      <w:pPr>
        <w:spacing w:before="0" w:after="0" w:line="408" w:lineRule="exact"/>
        <w:ind w:left="0" w:right="0" w:firstLine="576"/>
        <w:jc w:val="left"/>
      </w:pPr>
      <w:r>
        <w:rPr/>
        <w:t xml:space="preserve">(2) The membership of the work group established under subsection (1) of this section must include, but is not limited to:</w:t>
      </w:r>
    </w:p>
    <w:p>
      <w:pPr>
        <w:spacing w:before="0" w:after="0" w:line="408" w:lineRule="exact"/>
        <w:ind w:left="0" w:right="0" w:firstLine="576"/>
        <w:jc w:val="left"/>
      </w:pPr>
      <w:r>
        <w:rPr/>
        <w:t xml:space="preserve">(a) The chair and ranking member of the transportation committees of the legislature;</w:t>
      </w:r>
    </w:p>
    <w:p>
      <w:pPr>
        <w:spacing w:before="0" w:after="0" w:line="408" w:lineRule="exact"/>
        <w:ind w:left="0" w:right="0" w:firstLine="576"/>
        <w:jc w:val="left"/>
      </w:pPr>
      <w:r>
        <w:rPr/>
        <w:t xml:space="preserve">(b) Representatives of the department of licensing, the department of commerce, the department of ecology, the office of financial management, and the antitrust division of the attorney general's office;</w:t>
      </w:r>
    </w:p>
    <w:p>
      <w:pPr>
        <w:spacing w:before="0" w:after="0" w:line="408" w:lineRule="exact"/>
        <w:ind w:left="0" w:right="0" w:firstLine="576"/>
        <w:jc w:val="left"/>
      </w:pPr>
      <w:r>
        <w:rPr/>
        <w:t xml:space="preserve">(c) Fuel refineries, distributors, suppliers, and retail establishments; and</w:t>
      </w:r>
    </w:p>
    <w:p>
      <w:pPr>
        <w:spacing w:before="0" w:after="0" w:line="408" w:lineRule="exact"/>
        <w:ind w:left="0" w:right="0" w:firstLine="576"/>
        <w:jc w:val="left"/>
      </w:pPr>
      <w:r>
        <w:rPr/>
        <w:t xml:space="preserve">(d) Academic experts and consumer advocacy organizations with knowledge and expertise in fuel pricing.</w:t>
      </w:r>
    </w:p>
    <w:p>
      <w:pPr>
        <w:spacing w:before="0" w:after="0" w:line="408" w:lineRule="exact"/>
        <w:ind w:left="0" w:right="0" w:firstLine="576"/>
        <w:jc w:val="left"/>
      </w:pPr>
      <w:r>
        <w:rPr/>
        <w:t xml:space="preserve">(3) The work group established under subsection (1) of this section must review issues including, but not limited to:</w:t>
      </w:r>
    </w:p>
    <w:p>
      <w:pPr>
        <w:spacing w:before="0" w:after="0" w:line="408" w:lineRule="exact"/>
        <w:ind w:left="0" w:right="0" w:firstLine="576"/>
        <w:jc w:val="left"/>
      </w:pPr>
      <w:r>
        <w:rPr/>
        <w:t xml:space="preserve">(a) Previous studies and evaluations of fuel pricing in Washington state, including an update of the 2007-2008 gas price study through 2022 as deemed appropriate by the work group;</w:t>
      </w:r>
    </w:p>
    <w:p>
      <w:pPr>
        <w:spacing w:before="0" w:after="0" w:line="408" w:lineRule="exact"/>
        <w:ind w:left="0" w:right="0" w:firstLine="576"/>
        <w:jc w:val="left"/>
      </w:pPr>
      <w:r>
        <w:rPr/>
        <w:t xml:space="preserve">(b) Trends in fuel pricing in Washington state;</w:t>
      </w:r>
    </w:p>
    <w:p>
      <w:pPr>
        <w:spacing w:before="0" w:after="0" w:line="408" w:lineRule="exact"/>
        <w:ind w:left="0" w:right="0" w:firstLine="576"/>
        <w:jc w:val="left"/>
      </w:pPr>
      <w:r>
        <w:rPr/>
        <w:t xml:space="preserve">(c) Factors causing fuel prices in Washington state to be higher than the national average and how these factors have changed over time;</w:t>
      </w:r>
    </w:p>
    <w:p>
      <w:pPr>
        <w:spacing w:before="0" w:after="0" w:line="408" w:lineRule="exact"/>
        <w:ind w:left="0" w:right="0" w:firstLine="576"/>
        <w:jc w:val="left"/>
      </w:pPr>
      <w:r>
        <w:rPr/>
        <w:t xml:space="preserve">(d)(i) Margins and profits at the fuel production, distribution, and retail levels;</w:t>
      </w:r>
    </w:p>
    <w:p>
      <w:pPr>
        <w:spacing w:before="0" w:after="0" w:line="408" w:lineRule="exact"/>
        <w:ind w:left="0" w:right="0" w:firstLine="576"/>
        <w:jc w:val="left"/>
      </w:pPr>
      <w:r>
        <w:rPr/>
        <w:t xml:space="preserve">(ii) Information provided pursuant to (d)(i) of this subsection must be kept confidential and is exempt from disclosure under chapter 42.56 RCW. Such information must be aggregated to ensure confidentiality, but may be utilized in summarized form as part of the work group process and in the final report under subsection (4) of this section;</w:t>
      </w:r>
    </w:p>
    <w:p>
      <w:pPr>
        <w:spacing w:before="0" w:after="0" w:line="408" w:lineRule="exact"/>
        <w:ind w:left="0" w:right="0" w:firstLine="576"/>
        <w:jc w:val="left"/>
      </w:pPr>
      <w:r>
        <w:rPr/>
        <w:t xml:space="preserve">(e) State tax policies, environmental protections, and regulatory factors that may impact fuel pricing and make the state's fuel marketplace more or less competitive;</w:t>
      </w:r>
    </w:p>
    <w:p>
      <w:pPr>
        <w:spacing w:before="0" w:after="0" w:line="408" w:lineRule="exact"/>
        <w:ind w:left="0" w:right="0" w:firstLine="576"/>
        <w:jc w:val="left"/>
      </w:pPr>
      <w:r>
        <w:rPr/>
        <w:t xml:space="preserve">(f) Supply dynamics affecting the fuel markets in Washington state; and</w:t>
      </w:r>
    </w:p>
    <w:p>
      <w:pPr>
        <w:spacing w:before="0" w:after="0" w:line="408" w:lineRule="exact"/>
        <w:ind w:left="0" w:right="0" w:firstLine="576"/>
        <w:jc w:val="left"/>
      </w:pPr>
      <w:r>
        <w:rPr/>
        <w:t xml:space="preserve">(g) Potential reporting and audit requirements that would make fuel pricing more transparent to Washington state consumers.</w:t>
      </w:r>
    </w:p>
    <w:p>
      <w:pPr>
        <w:spacing w:before="0" w:after="0" w:line="408" w:lineRule="exact"/>
        <w:ind w:left="0" w:right="0" w:firstLine="576"/>
        <w:jc w:val="left"/>
      </w:pPr>
      <w:r>
        <w:rPr/>
        <w:t xml:space="preserve">(4) The joint transportation committee must report its findings and recommendations to the governor's office and the appropriate policy and fiscal committees of the legislature by December 1, 2024.</w:t>
      </w:r>
    </w:p>
    <w:p>
      <w:pPr>
        <w:spacing w:before="0" w:after="0" w:line="408" w:lineRule="exact"/>
        <w:ind w:left="0" w:right="0" w:firstLine="576"/>
        <w:jc w:val="left"/>
      </w:pPr>
      <w:r>
        <w:rPr/>
        <w:t xml:space="preserve">(5) This section expires January 1, 2025.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Implementing the Emission Exemptions Under the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By January 1, 2025, the department must establish a remittance program for entities consuming fuels, on or after January 1, 2023, whose emissions are exempted from coverage in the program under RCW 70A.65.080(7)(e). The remittance program must include a climate commitment act remittance portal that allows farm fuel users and freight haulers of agricultural products to electronically submit, on a quarterly basis, an application for remittance and supporting documentation.</w:t>
      </w:r>
    </w:p>
    <w:p>
      <w:pPr>
        <w:spacing w:before="0" w:after="0" w:line="408" w:lineRule="exact"/>
        <w:ind w:left="0" w:right="0" w:firstLine="576"/>
        <w:jc w:val="left"/>
      </w:pPr>
      <w:r>
        <w:rPr/>
        <w:t xml:space="preserve">(b) Supporting documentation for farm fuel users must include receipts showing fuel purchases for fuel used exclusively for agricultural purposes and the farm fuel user's department of revenue farmer's certificate for wholesale purchases and sales tax exemptions.</w:t>
      </w:r>
    </w:p>
    <w:p>
      <w:pPr>
        <w:spacing w:before="0" w:after="0" w:line="408" w:lineRule="exact"/>
        <w:ind w:left="0" w:right="0" w:firstLine="576"/>
        <w:jc w:val="left"/>
      </w:pPr>
      <w:r>
        <w:rPr/>
        <w:t xml:space="preserve">(c) Supporting documentation for entities transporting agricultural products on public highways must include fuel tax reports submitted to the department of licensing and documentation indicating the approximate time, date, and location of each agricultural product haul and a general description of the agricultural products transported.</w:t>
      </w:r>
    </w:p>
    <w:p>
      <w:pPr>
        <w:spacing w:before="0" w:after="0" w:line="408" w:lineRule="exact"/>
        <w:ind w:left="0" w:right="0" w:firstLine="576"/>
        <w:jc w:val="left"/>
      </w:pPr>
      <w:r>
        <w:rPr/>
        <w:t xml:space="preserve">(2)(a) An approved application for remittance under subsection (1) of this section is eligible for a remittance equal to the auction settlement price in effect for the calendar quarter in which the fuel was purchased multiplied by eight-tenths of one percent and the number of gallons in the remittance application.</w:t>
      </w:r>
    </w:p>
    <w:p>
      <w:pPr>
        <w:spacing w:before="0" w:after="0" w:line="408" w:lineRule="exact"/>
        <w:ind w:left="0" w:right="0" w:firstLine="576"/>
        <w:jc w:val="left"/>
      </w:pPr>
      <w:r>
        <w:rPr/>
        <w:t xml:space="preserve">(b) An entity consuming fuels whose emissions are exempted from coverage in the program under RCW 70A.65.080(7)(e) with an approved remittance application may, at their discretion, have their remittance amount held as credits based on the auction settlement price in effect for that calendar quarter in which the fuel was purchased. These credits may be held for future trading rather than returned based on cash value. The department must establish a mechanism for tracking and administering these tradable credits for each entity exempted from coverage in the program under RCW 70A.65.080(7)(e) with an approved remittance application. The department is not responsible for any gain or loss in value associated with the change in subsequent auction prices. The department must adjust the volume of allowances available at subsequent auctions to account for these held remittance credits.</w:t>
      </w:r>
    </w:p>
    <w:p>
      <w:pPr>
        <w:spacing w:before="0" w:after="0" w:line="408" w:lineRule="exact"/>
        <w:ind w:left="0" w:right="0" w:firstLine="576"/>
        <w:jc w:val="left"/>
      </w:pPr>
      <w:r>
        <w:rPr/>
        <w:t xml:space="preserve">(3) The remittance program authorized under this section applies both prospectively as well as retroactively to entities consuming fuels, on or after January 1, 2023, whose emissions are exempted from coverage in the program under RCW 70A.65.080(7)(e).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2022 c 179 s 14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w:t>
      </w:r>
      <w:r>
        <w:t>((</w:t>
      </w:r>
      <w:r>
        <w:rPr>
          <w:strike/>
        </w:rPr>
        <w:t xml:space="preserve">This exemption is available only if a buyer of motor vehicle fuel or special fuel provides the seller with an exemption certificate in a form and manner prescribed by the department.</w:t>
      </w:r>
      <w:r>
        <w:t>))</w:t>
      </w:r>
      <w:r>
        <w:rPr/>
        <w:t xml:space="preserve">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w:t>
      </w:r>
      <w:r>
        <w:rPr>
          <w:u w:val="single"/>
        </w:rPr>
        <w:t xml:space="preserve">, as defined in RCW 82.04.213,</w:t>
      </w:r>
      <w:r>
        <w:rPr/>
        <w:t xml:space="preserve"> on public highways. The department must maintain this expanded exemption for a period of five years, in order to provide the agricultural sector with a feasible transition period</w:t>
      </w:r>
      <w:r>
        <w:rPr>
          <w:u w:val="single"/>
        </w:rPr>
        <w:t xml:space="preserve">.</w:t>
      </w:r>
    </w:p>
    <w:p>
      <w:pPr>
        <w:spacing w:before="0" w:after="0" w:line="408" w:lineRule="exact"/>
        <w:ind w:left="0" w:right="0" w:firstLine="576"/>
        <w:jc w:val="left"/>
      </w:pPr>
      <w:r>
        <w:rPr>
          <w:u w:val="single"/>
        </w:rPr>
        <w:t xml:space="preserve">(iii) The exemptions under this subsection (7)(e) must be provided through at least two methods in a form and manner required by the department:</w:t>
      </w:r>
    </w:p>
    <w:p>
      <w:pPr>
        <w:spacing w:before="0" w:after="0" w:line="408" w:lineRule="exact"/>
        <w:ind w:left="0" w:right="0" w:firstLine="576"/>
        <w:jc w:val="left"/>
      </w:pPr>
      <w:r>
        <w:rPr>
          <w:u w:val="single"/>
        </w:rPr>
        <w:t xml:space="preserve">(A) A remittance program established in section 301 of this act, including a tradable credit mechanism as provided under section 301(2)(b) of this act; or</w:t>
      </w:r>
    </w:p>
    <w:p>
      <w:pPr>
        <w:spacing w:before="0" w:after="0" w:line="408" w:lineRule="exact"/>
        <w:ind w:left="0" w:right="0" w:firstLine="576"/>
        <w:jc w:val="left"/>
      </w:pPr>
      <w:r>
        <w:rPr>
          <w:u w:val="single"/>
        </w:rPr>
        <w:t xml:space="preserve">(B) An exemption certificate method if a buyer of motor vehicle fuel or special fuel provides the seller with an exemption certificate in a form and manner prescribed by the department.</w:t>
      </w:r>
    </w:p>
    <w:p>
      <w:pPr>
        <w:spacing w:before="0" w:after="0" w:line="408" w:lineRule="exact"/>
        <w:ind w:left="0" w:right="0" w:firstLine="576"/>
        <w:jc w:val="left"/>
      </w:pPr>
      <w:r>
        <w:rPr>
          <w:u w:val="single"/>
        </w:rPr>
        <w:t xml:space="preserve">(iv) In addition to the methods described in (e)(iii) of this subsection, the department may prescribe by rule additional methods for implementing the exemptions under this subsection (7)(e)</w:t>
      </w:r>
      <w:r>
        <w:rPr/>
        <w:t xml:space="preserve">;</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convene a work group to review rules and processes that are developed to exempt the emissions in RCW 70A.65.080 from coverage under chapter 70A.65 RCW and to develop recommendations for changes to laws, rules, policies, and practices to ensure the full use and benefit of the exemptions.</w:t>
      </w:r>
    </w:p>
    <w:p>
      <w:pPr>
        <w:spacing w:before="0" w:after="0" w:line="408" w:lineRule="exact"/>
        <w:ind w:left="0" w:right="0" w:firstLine="576"/>
        <w:jc w:val="left"/>
      </w:pPr>
      <w:r>
        <w:rPr/>
        <w:t xml:space="preserve">(2) The work group must be comprised of the following members:</w:t>
      </w:r>
    </w:p>
    <w:p>
      <w:pPr>
        <w:spacing w:before="0" w:after="0" w:line="408" w:lineRule="exact"/>
        <w:ind w:left="0" w:right="0" w:firstLine="576"/>
        <w:jc w:val="left"/>
      </w:pPr>
      <w:r>
        <w:rPr/>
        <w:t xml:space="preserve">(a) A representative from the department of revenue;</w:t>
      </w:r>
    </w:p>
    <w:p>
      <w:pPr>
        <w:spacing w:before="0" w:after="0" w:line="408" w:lineRule="exact"/>
        <w:ind w:left="0" w:right="0" w:firstLine="576"/>
        <w:jc w:val="left"/>
      </w:pPr>
      <w:r>
        <w:rPr/>
        <w:t xml:space="preserve">(b) A representative from the department of licensing;</w:t>
      </w:r>
    </w:p>
    <w:p>
      <w:pPr>
        <w:spacing w:before="0" w:after="0" w:line="408" w:lineRule="exact"/>
        <w:ind w:left="0" w:right="0" w:firstLine="576"/>
        <w:jc w:val="left"/>
      </w:pPr>
      <w:r>
        <w:rPr/>
        <w:t xml:space="preserve">(c) A representative from the department of transportation;</w:t>
      </w:r>
    </w:p>
    <w:p>
      <w:pPr>
        <w:spacing w:before="0" w:after="0" w:line="408" w:lineRule="exact"/>
        <w:ind w:left="0" w:right="0" w:firstLine="576"/>
        <w:jc w:val="left"/>
      </w:pPr>
      <w:r>
        <w:rPr/>
        <w:t xml:space="preserve">(d) Representatives from statewide organizations advocating for the aviation industry and aviation enthusiasts;</w:t>
      </w:r>
    </w:p>
    <w:p>
      <w:pPr>
        <w:spacing w:before="0" w:after="0" w:line="408" w:lineRule="exact"/>
        <w:ind w:left="0" w:right="0" w:firstLine="576"/>
        <w:jc w:val="left"/>
      </w:pPr>
      <w:r>
        <w:rPr/>
        <w:t xml:space="preserve">(e) Representatives from statewide organizations advocating for the watercraft industry and watercraft users;</w:t>
      </w:r>
    </w:p>
    <w:p>
      <w:pPr>
        <w:spacing w:before="0" w:after="0" w:line="408" w:lineRule="exact"/>
        <w:ind w:left="0" w:right="0" w:firstLine="576"/>
        <w:jc w:val="left"/>
      </w:pPr>
      <w:r>
        <w:rPr/>
        <w:t xml:space="preserve">(f) Representatives from statewide organizations advocating for the agricultural industry and farmers;</w:t>
      </w:r>
    </w:p>
    <w:p>
      <w:pPr>
        <w:spacing w:before="0" w:after="0" w:line="408" w:lineRule="exact"/>
        <w:ind w:left="0" w:right="0" w:firstLine="576"/>
        <w:jc w:val="left"/>
      </w:pPr>
      <w:r>
        <w:rPr/>
        <w:t xml:space="preserve">(g) Representatives from statewide organizations advocating for the fuel refineries, manufacturers, distributors, and retailers; and</w:t>
      </w:r>
    </w:p>
    <w:p>
      <w:pPr>
        <w:spacing w:before="0" w:after="0" w:line="408" w:lineRule="exact"/>
        <w:ind w:left="0" w:right="0" w:firstLine="576"/>
        <w:jc w:val="left"/>
      </w:pPr>
      <w:r>
        <w:rPr/>
        <w:t xml:space="preserve">(h) Representatives from statewide organizations that advocate for the other products and activities that fall within the exemption provided in RCW 70A.65.080.</w:t>
      </w:r>
    </w:p>
    <w:p>
      <w:pPr>
        <w:spacing w:before="0" w:after="0" w:line="408" w:lineRule="exact"/>
        <w:ind w:left="0" w:right="0" w:firstLine="576"/>
        <w:jc w:val="left"/>
      </w:pPr>
      <w:r>
        <w:rPr/>
        <w:t xml:space="preserve">(3) The work group shall review and make recommendations on the following topics:</w:t>
      </w:r>
    </w:p>
    <w:p>
      <w:pPr>
        <w:spacing w:before="0" w:after="0" w:line="408" w:lineRule="exact"/>
        <w:ind w:left="0" w:right="0" w:firstLine="576"/>
        <w:jc w:val="left"/>
      </w:pPr>
      <w:r>
        <w:rPr/>
        <w:t xml:space="preserve">(a) Whether exemption processes have been responsive to how markets have reacted to the greenhouse gas emissions cap and invest program;</w:t>
      </w:r>
    </w:p>
    <w:p>
      <w:pPr>
        <w:spacing w:before="0" w:after="0" w:line="408" w:lineRule="exact"/>
        <w:ind w:left="0" w:right="0" w:firstLine="576"/>
        <w:jc w:val="left"/>
      </w:pPr>
      <w:r>
        <w:rPr/>
        <w:t xml:space="preserve">(b) Whether exemption processes can be improved or alternatives developed to reduce the burdens on those seeking an exemption;</w:t>
      </w:r>
    </w:p>
    <w:p>
      <w:pPr>
        <w:spacing w:before="0" w:after="0" w:line="408" w:lineRule="exact"/>
        <w:ind w:left="0" w:right="0" w:firstLine="576"/>
        <w:jc w:val="left"/>
      </w:pPr>
      <w:r>
        <w:rPr/>
        <w:t xml:space="preserve">(c) The adequacy of current guidance and tools to report exemptions;</w:t>
      </w:r>
    </w:p>
    <w:p>
      <w:pPr>
        <w:spacing w:before="0" w:after="0" w:line="408" w:lineRule="exact"/>
        <w:ind w:left="0" w:right="0" w:firstLine="576"/>
        <w:jc w:val="left"/>
      </w:pPr>
      <w:r>
        <w:rPr/>
        <w:t xml:space="preserve">(d) Whether changes are necessary related to the remittance program created in section 301 of this act; and</w:t>
      </w:r>
    </w:p>
    <w:p>
      <w:pPr>
        <w:spacing w:before="0" w:after="0" w:line="408" w:lineRule="exact"/>
        <w:ind w:left="0" w:right="0" w:firstLine="576"/>
        <w:jc w:val="left"/>
      </w:pPr>
      <w:r>
        <w:rPr/>
        <w:t xml:space="preserve">(e) Other issues and topics the work group determines are necessary to review the full use and enjoyment of the exemptions provided in RCW 70A.65.080.</w:t>
      </w:r>
    </w:p>
    <w:p>
      <w:pPr>
        <w:spacing w:before="0" w:after="0" w:line="408" w:lineRule="exact"/>
        <w:ind w:left="0" w:right="0" w:firstLine="576"/>
        <w:jc w:val="left"/>
      </w:pPr>
      <w:r>
        <w:rPr/>
        <w:t xml:space="preserve">(4) Any statewide organizations advocating for an industry or activity described in RCW 70A.65.080 may submit in writing its recommendations to the work group for its review and consideration.</w:t>
      </w:r>
    </w:p>
    <w:p>
      <w:pPr>
        <w:spacing w:before="0" w:after="0" w:line="408" w:lineRule="exact"/>
        <w:ind w:left="0" w:right="0" w:firstLine="576"/>
        <w:jc w:val="left"/>
      </w:pPr>
      <w:r>
        <w:rPr/>
        <w:t xml:space="preserve">(5) Committee members are not entitled to be reimbursed for travel expenses if they are elected officials or are participating on behalf of an employer, governmental entity, or other organization. Any reimbursement for members is subject to chapter 43.03 RCW.</w:t>
      </w:r>
    </w:p>
    <w:p>
      <w:pPr>
        <w:spacing w:before="0" w:after="0" w:line="408" w:lineRule="exact"/>
        <w:ind w:left="0" w:right="0" w:firstLine="576"/>
        <w:jc w:val="left"/>
      </w:pPr>
      <w:r>
        <w:rPr/>
        <w:t xml:space="preserve">(6) The department of ecology must submit a report containing its review and recommendations to the appropriate committees of the legislature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The climate commitment act remittance account is created in the state treasury. The account may receive deposits from auction proceeds pursuant to RCW 70A.65.100. Moneys in the account may be spent only after appropriation. Expenditures from the account may only be used for the purpose of the remittance program established in section 301 of this act for entities consuming fuels whose emissions are exempted from coverage in the program under RCW 70A.65.080(7)(e). The department may not expend more than 10 percent per year on administrative costs associated with the remittance program.</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Vehicle Fee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By March 1, 2024, and January 1, 2025, the office of financial management and the department of ecology must jointly calculate the amount of revenue collected from auctions under this chapter for the immediately preceding fiscal year in excess of the revenue estimate prepared in October 2022, reduced by any amount appropriated in the omnibus operating appropriations act from the climate commitment act remittance account created in section 304 of this act for the fiscal year. This information must be transmitted to the department of licensing and to the appropriate policy and fiscal committees of the legislature.</w:t>
      </w:r>
    </w:p>
    <w:p>
      <w:pPr>
        <w:spacing w:before="0" w:after="0" w:line="408" w:lineRule="exact"/>
        <w:ind w:left="0" w:right="0" w:firstLine="576"/>
        <w:jc w:val="left"/>
      </w:pPr>
      <w:r>
        <w:rPr/>
        <w:t xml:space="preserve">(2) Using the amount determined under subsection (1) of this section, for fiscal year 2025 and fiscal year 2026, the department must reduce vehicle license fees and the license fees based on declared gross weight under RCW 46.17.350 and 46.17.355. The fee reduction per vehicle is the lesser of: The amount determined under subsection (1) of this section divided by the anticipated number of vehicles eligible for the fee reduction; or the license fee for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0" w:after="0" w:line="408" w:lineRule="exact"/>
        <w:ind w:left="0" w:right="0" w:firstLine="576"/>
        <w:jc w:val="left"/>
      </w:pPr>
      <w:r>
        <w:rPr>
          <w:u w:val="single"/>
        </w:rPr>
        <w:t xml:space="preserve">(3) For the following vehicle types, vehicle license fees under this section for vehicle registrations that are due or become due on or after July 1, 2024, through June 30, 2026, must be lowered by the amounts as determined under section 401 of this act.</w:t>
      </w:r>
    </w:p>
    <w:p>
      <w:pPr>
        <w:spacing w:before="0" w:after="0" w:line="408" w:lineRule="exact"/>
        <w:ind w:left="0" w:right="0" w:firstLine="576"/>
        <w:jc w:val="left"/>
      </w:pPr>
      <w:r>
        <w:rPr>
          <w:u w:val="single"/>
        </w:rPr>
        <w:t xml:space="preserve">(a) For hire vehicle, six seats or less;</w:t>
      </w:r>
    </w:p>
    <w:p>
      <w:pPr>
        <w:spacing w:before="0" w:after="0" w:line="408" w:lineRule="exact"/>
        <w:ind w:left="0" w:right="0" w:firstLine="576"/>
        <w:jc w:val="left"/>
      </w:pPr>
      <w:r>
        <w:rPr>
          <w:u w:val="single"/>
        </w:rPr>
        <w:t xml:space="preserve">(b) Moped;</w:t>
      </w:r>
    </w:p>
    <w:p>
      <w:pPr>
        <w:spacing w:before="0" w:after="0" w:line="408" w:lineRule="exact"/>
        <w:ind w:left="0" w:right="0" w:firstLine="576"/>
        <w:jc w:val="left"/>
      </w:pPr>
      <w:r>
        <w:rPr>
          <w:u w:val="single"/>
        </w:rPr>
        <w:t xml:space="preserve">(c) Motor home;</w:t>
      </w:r>
    </w:p>
    <w:p>
      <w:pPr>
        <w:spacing w:before="0" w:after="0" w:line="408" w:lineRule="exact"/>
        <w:ind w:left="0" w:right="0" w:firstLine="576"/>
        <w:jc w:val="left"/>
      </w:pPr>
      <w:r>
        <w:rPr>
          <w:u w:val="single"/>
        </w:rPr>
        <w:t xml:space="preserve">(d) Motorcycle;</w:t>
      </w:r>
    </w:p>
    <w:p>
      <w:pPr>
        <w:spacing w:before="0" w:after="0" w:line="408" w:lineRule="exact"/>
        <w:ind w:left="0" w:right="0" w:firstLine="576"/>
        <w:jc w:val="left"/>
      </w:pPr>
      <w:r>
        <w:rPr>
          <w:u w:val="single"/>
        </w:rPr>
        <w:t xml:space="preserve">(e) Passenger car;</w:t>
      </w:r>
    </w:p>
    <w:p>
      <w:pPr>
        <w:spacing w:before="0" w:after="0" w:line="408" w:lineRule="exact"/>
        <w:ind w:left="0" w:right="0" w:firstLine="576"/>
        <w:jc w:val="left"/>
      </w:pPr>
      <w:r>
        <w:rPr>
          <w:u w:val="single"/>
        </w:rPr>
        <w:t xml:space="preserve">(f) Sport utility vehicle; and</w:t>
      </w:r>
    </w:p>
    <w:p>
      <w:pPr>
        <w:spacing w:before="0" w:after="0" w:line="408" w:lineRule="exact"/>
        <w:ind w:left="0" w:right="0" w:firstLine="576"/>
        <w:jc w:val="left"/>
      </w:pPr>
      <w:r>
        <w:rPr>
          <w:u w:val="single"/>
        </w:rPr>
        <w:t xml:space="preserve">(g) Tow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(6) of this section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w:t>
      </w:r>
      <w:r>
        <w:t>((</w:t>
      </w:r>
      <w:r>
        <w:rPr>
          <w:strike/>
        </w:rPr>
        <w:t xml:space="preserve">fifteen</w:t>
      </w:r>
      <w:r>
        <w:t>))</w:t>
      </w:r>
      <w:r>
        <w:rPr/>
        <w:t xml:space="preserve"> </w:t>
      </w:r>
      <w:r>
        <w:rPr>
          <w:u w:val="single"/>
        </w:rPr>
        <w:t xml:space="preserve">15</w:t>
      </w:r>
      <w:r>
        <w:rPr/>
        <w:t xml:space="preserve"> percent of the license fee provided in subsection (1) of this section, rounded to the nearest whole dollar, which must be distributed under RCW 46.68.035.</w:t>
      </w:r>
    </w:p>
    <w:p>
      <w:pPr>
        <w:spacing w:before="0" w:after="0" w:line="408" w:lineRule="exact"/>
        <w:ind w:left="0" w:right="0" w:firstLine="576"/>
        <w:jc w:val="left"/>
      </w:pPr>
      <w:r>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w:t>
      </w:r>
      <w:r>
        <w:t>((</w:t>
      </w:r>
      <w:r>
        <w:rPr>
          <w:strike/>
        </w:rPr>
        <w:t xml:space="preserve">ten dollars</w:t>
      </w:r>
      <w:r>
        <w:t>))</w:t>
      </w:r>
      <w:r>
        <w:rPr/>
        <w:t xml:space="preserve"> </w:t>
      </w:r>
      <w:r>
        <w:rPr>
          <w:u w:val="single"/>
        </w:rPr>
        <w:t xml:space="preserve">$10</w:t>
      </w:r>
      <w:r>
        <w:rPr/>
        <w:t xml:space="preserve">, which must be distributed under RCW 46.68.035.</w:t>
      </w:r>
    </w:p>
    <w:p>
      <w:pPr>
        <w:spacing w:before="0" w:after="0" w:line="408" w:lineRule="exact"/>
        <w:ind w:left="0" w:right="0" w:firstLine="576"/>
        <w:jc w:val="left"/>
      </w:pPr>
      <w:r>
        <w:rPr>
          <w:u w:val="single"/>
        </w:rPr>
        <w:t xml:space="preserve">(8) For vehicle registrations that are due or become due on or after July 1, 2024, through June 30, 2026, the license fee based on declared gross weight as provided in subsection (1) of this section must be lowered by the amounts as determined under section 401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2023 c 475 s 937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w:t>
      </w:r>
      <w:r>
        <w:t>((</w:t>
      </w:r>
      <w:r>
        <w:rPr>
          <w:strike/>
        </w:rPr>
        <w:t xml:space="preserve">and</w:t>
      </w:r>
      <w:r>
        <w:t>))</w:t>
      </w:r>
      <w:r>
        <w:rPr/>
        <w:t xml:space="preserve"> (ii) </w:t>
      </w:r>
      <w:r>
        <w:rPr>
          <w:u w:val="single"/>
        </w:rPr>
        <w:t xml:space="preserve">$25,000,000 must then be deposited into the climate commitment act remittance account created in section 304 of this act; and (iii)</w:t>
      </w:r>
      <w:r>
        <w:rPr/>
        <w:t xml:space="preserve">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w:t>
      </w:r>
      <w:r>
        <w:t>((</w:t>
      </w:r>
      <w:r>
        <w:rPr>
          <w:strike/>
        </w:rPr>
        <w:t xml:space="preserve">and</w:t>
      </w:r>
      <w:r>
        <w:t>))</w:t>
      </w:r>
      <w:r>
        <w:rPr/>
        <w:t xml:space="preserve"> (ii) </w:t>
      </w:r>
      <w:r>
        <w:rPr>
          <w:u w:val="single"/>
        </w:rPr>
        <w:t xml:space="preserve">the amount appropriated in the omnibus operating appropriations act to the climate commitment act remittance account created in section 304 of this act must then be deposited into the account; (iii) a sum equal to the dollar amount that would otherwise have been deposited into the motor vehicle fund but for the lowering of vehicle license fees and the license fees based on declared gross weight pursuant to RCW 46.17.350 and 46.17.355 must then be deposited into the motor vehicle fund; and (iv)</w:t>
      </w:r>
      <w:r>
        <w:rPr/>
        <w:t xml:space="preserve"> the remaining auction proceeds to the climate investment account created in RCW 70A.65.250 and the air quality and health disparities improvement account created in RCW 70A.65.280, which may be prorated equally across each of the auctions occurring in fiscal year 2025. </w:t>
      </w:r>
      <w:r>
        <w:rPr>
          <w:u w:val="single"/>
        </w:rPr>
        <w:t xml:space="preserve">The amounts deposited into the climate investment account created in RCW 70A.65.250 and the air quality and health disparities improvement account created in RCW 70A.65.280 must be equal to or greater than the amount that would have been deposited to those accounts based on revenue estimate prepared in October 2022 by the department.</w:t>
      </w:r>
    </w:p>
    <w:p>
      <w:pPr>
        <w:spacing w:before="0" w:after="0" w:line="408" w:lineRule="exact"/>
        <w:ind w:left="0" w:right="0" w:firstLine="576"/>
        <w:jc w:val="left"/>
      </w:pPr>
      <w:r>
        <w:rPr/>
        <w:t xml:space="preserve">(d) </w:t>
      </w:r>
      <w:r>
        <w:rPr>
          <w:u w:val="single"/>
        </w:rPr>
        <w:t xml:space="preserve">For fiscal year 2026, upon completion and verification of the auction results, the financial services administrator shall notify winning bidders and transfer the auction proceeds to the state treasurer for deposit as follows: (i) $359,117,000 must first be deposited into the carbon emissions reduction account created in RCW 70A.65.240, except that during fiscal year 2026, the deposit as provided in this subsection (7)(d)(i) may be prorated equally across each of the auctions occurring in fiscal year 2026; (ii) the amount appropriated in the omnibus operating appropriations act to the climate commitment act remittance account created in section 304 of this act must then be deposited into the account; (iii) a sum equal to the dollar amount that would otherwise have been deposited into the motor vehicle fund but for the lowering of vehicle license fees and the license fees based on declared gross weight pursuant to RCW 46.17.350 and 46.17.355 must then be deposited into the motor vehicle fund; and (iv) the remaining auction proceeds to the climate investment account created in RCW 70A.65.250 and the air quality and health disparities improvement account created in RCW 70A.65.280, which may be prorated equally across each of the auctions occurring in fiscal year 2026. The amounts deposited into the climate investment account created in RCW 70A.65.250 and the air quality and health disparities improvement account created in RCW 70A.65.280 must be equal to or greater than the amount that would have been deposited to those accounts based on the revenue estimate prepared in October 2022 by the department.</w:t>
      </w:r>
    </w:p>
    <w:p>
      <w:pPr>
        <w:spacing w:before="0" w:after="0" w:line="408" w:lineRule="exact"/>
        <w:ind w:left="0" w:right="0" w:firstLine="576"/>
        <w:jc w:val="left"/>
      </w:pPr>
      <w:r>
        <w:rPr>
          <w:u w:val="single"/>
        </w:rPr>
        <w:t xml:space="preserve">(e)</w:t>
      </w:r>
      <w:r>
        <w:rPr/>
        <w:t xml:space="preserve"> For fiscal years </w:t>
      </w:r>
      <w:r>
        <w:t>((</w:t>
      </w:r>
      <w:r>
        <w:rPr>
          <w:strike/>
        </w:rPr>
        <w:t xml:space="preserve">2026</w:t>
      </w:r>
      <w:r>
        <w:t>))</w:t>
      </w:r>
      <w:r>
        <w:rPr/>
        <w:t xml:space="preserve"> </w:t>
      </w:r>
      <w:r>
        <w:rPr>
          <w:u w:val="single"/>
        </w:rPr>
        <w:t xml:space="preserve">2027</w:t>
      </w:r>
      <w:r>
        <w:rPr/>
        <w:t xml:space="preserve">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w:t>
      </w:r>
      <w:r>
        <w:t>((</w:t>
      </w:r>
      <w:r>
        <w:rPr>
          <w:strike/>
        </w:rPr>
        <w:t xml:space="preserve">and</w:t>
      </w:r>
      <w:r>
        <w:t>))</w:t>
      </w:r>
      <w:r>
        <w:rPr/>
        <w:t xml:space="preserve"> (ii) </w:t>
      </w:r>
      <w:r>
        <w:rPr>
          <w:u w:val="single"/>
        </w:rPr>
        <w:t xml:space="preserve">the amount appropriated in the omnibus operating appropriations act to the climate commitment act remittance account created in section 304 of this act must then be deposited into the account; and (iii)</w:t>
      </w:r>
      <w:r>
        <w:rPr/>
        <w:t xml:space="preserve">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deposits into the carbon emissions reduction account pursuant to (a) through </w:t>
      </w:r>
      <w:r>
        <w:t>((</w:t>
      </w:r>
      <w:r>
        <w:rPr>
          <w:strike/>
        </w:rPr>
        <w:t xml:space="preserve">(d)</w:t>
      </w:r>
      <w:r>
        <w:t>))</w:t>
      </w:r>
      <w:r>
        <w:rPr/>
        <w:t xml:space="preserve"> </w:t>
      </w:r>
      <w:r>
        <w:rPr>
          <w:u w:val="single"/>
        </w:rPr>
        <w:t xml:space="preserve">(e)</w:t>
      </w:r>
      <w:r>
        <w:rPr/>
        <w:t xml:space="preserve">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
      <w:pPr>
        <w:jc w:val="center"/>
      </w:pPr>
      <w:r>
        <w:rPr>
          <w:b/>
        </w:rPr>
        <w:t>--- END ---</w:t>
      </w:r>
    </w:p>
    <w:sectPr>
      <w:pgNumType w:start="1"/>
      <w:footerReference xmlns:r="http://schemas.openxmlformats.org/officeDocument/2006/relationships" r:id="R24227982808541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3fa39eb5b4a06" /><Relationship Type="http://schemas.openxmlformats.org/officeDocument/2006/relationships/footer" Target="/word/footer1.xml" Id="R242279828085419c" /></Relationships>
</file>