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ffe38ad9c430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 Fey)</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certain corrective changes resulting from the enactment of chapter 182, Laws of 2022 (transportation resources); amending RCW 46.17.015, 46.17.025, 81.104.170, 81.104.175, 47.04.380, 47.04.390, 46.68.480, 43.84.092, 43.84.092, 47.66.140, and 43.392.040; reenacting and amending RCW 47.04.010; adding a new section to chapter 47.04 RCW; creating new sections; recodifying RCW 47.24.060;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regular legislative session of 2022, the legislature passed Engrossed Substitute Senate Bill No. 5974 (chapter 182, Laws of 2022), a significant transportation resources bill intended to provide needed transportation funding throughout the state. However, since the enactment of that act, certain drafting errors and omissions were identified within the act resulting in some provisions being enacted contrary to legislative intent. Additionally, some corrective changes were identified that would better conform certain provisions with original legislative intent. Therefore, it is the intent of the legislature to simply correct manifest drafting errors and omissions and adopt corrective changes in order to conform certain provisions with the original legislative intent of Engrossed Substitute Senate Bill No. 5974 (chapter 182, Laws of 2022). It is not the intent of the legislature to alter the intended substantive policy enacted in Engrossed Substitute Senate Bill No. 5974 (chapter 182, Laws of 2022), but rather to make certain corrective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2022 c 182 s 207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25 cent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plate technology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2022 c 182 s 208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50 cent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service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2019 c 273 s 12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(c) The exemptions in RCW 82.14.532 are for the local sales and use taxes and include the tax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2018 c 81 s 1 are each amended to read as follows:</w:t>
      </w:r>
    </w:p>
    <w:p>
      <w:pPr>
        <w:spacing w:before="0" w:after="0" w:line="408" w:lineRule="exact"/>
        <w:ind w:left="0" w:right="0" w:firstLine="576"/>
        <w:jc w:val="left"/>
      </w:pPr>
      <w:r>
        <w:rPr/>
        <w:t xml:space="preserve">(1)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may impose a regular property tax levy in an amount not to exceed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(7) Property taxes imposed under this section may not be imposed on less than a whole parcel.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2022 c 182 s 417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w:t>
      </w:r>
      <w:r>
        <w:rPr>
          <w:u w:val="single"/>
        </w:rPr>
        <w:t xml:space="preserve">and to honor the legacy of community advocacy of Sandy Williams,</w:t>
      </w:r>
      <w:r>
        <w:rPr/>
        <w:t xml:space="preserve"> the </w:t>
      </w:r>
      <w:r>
        <w:rPr>
          <w:u w:val="single"/>
        </w:rPr>
        <w:t xml:space="preserve">Sandy Williams</w:t>
      </w:r>
      <w:r>
        <w:rPr/>
        <w:t xml:space="preserv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w:t>
      </w:r>
      <w:r>
        <w:rPr>
          <w:u w:val="single"/>
        </w:rPr>
        <w:t xml:space="preserve">Sandy Williams</w:t>
      </w:r>
      <w:r>
        <w:rPr/>
        <w:t xml:space="preserv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390</w:t>
      </w:r>
      <w:r>
        <w:rPr/>
        <w:t xml:space="preserve"> and 2022 c 182 s 419 are each amended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w:t>
      </w:r>
      <w:r>
        <w:rPr>
          <w:u w:val="single"/>
        </w:rPr>
        <w:t xml:space="preserve">including, but not limited to, bicycles, helmets, locks, and lights,</w:t>
      </w:r>
      <w:r>
        <w:rPr/>
        <w:t xml:space="preserve">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2022 c 182 s 430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By December 1, 2024, and every two years thereafter, the commission shall report to the transportation committees of the legislature regarding the activities funded from the account.</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w:t>
      </w:r>
      <w:r>
        <w:t>((</w:t>
      </w:r>
      <w:r>
        <w:rPr>
          <w:strike/>
        </w:rPr>
        <w:t xml:space="preserve">six hundred</w:t>
      </w:r>
      <w:r>
        <w:t>))</w:t>
      </w:r>
      <w:r>
        <w:rPr/>
        <w:t xml:space="preserve"> </w:t>
      </w:r>
      <w:r>
        <w:rPr>
          <w:u w:val="single"/>
        </w:rPr>
        <w:t xml:space="preserve">600</w:t>
      </w:r>
      <w:r>
        <w:rPr/>
        <w:t xml:space="preserve"> feet along such highway there are buildings in use for business or industrial purposes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hotels, banks, or office buildings, railroad stations, and public buildings which occupy at least </w:t>
      </w:r>
      <w:r>
        <w:t>((</w:t>
      </w:r>
      <w:r>
        <w:rPr>
          <w:strike/>
        </w:rPr>
        <w:t xml:space="preserve">three hundred</w:t>
      </w:r>
      <w:r>
        <w:t>))</w:t>
      </w:r>
      <w:r>
        <w:rPr/>
        <w:t xml:space="preserve"> </w:t>
      </w:r>
      <w:r>
        <w:rPr>
          <w:u w:val="single"/>
        </w:rPr>
        <w:t xml:space="preserve">300</w:t>
      </w:r>
      <w:r>
        <w:rPr/>
        <w:t xml:space="preserve"> feet of frontage on one side or </w:t>
      </w:r>
      <w:r>
        <w:t>((</w:t>
      </w:r>
      <w:r>
        <w:rPr>
          <w:strike/>
        </w:rPr>
        <w:t xml:space="preserve">three hundred</w:t>
      </w:r>
      <w:r>
        <w:t>))</w:t>
      </w:r>
      <w:r>
        <w:rPr/>
        <w:t xml:space="preserve"> </w:t>
      </w:r>
      <w:r>
        <w:rPr>
          <w:u w:val="single"/>
        </w:rPr>
        <w:t xml:space="preserve">300</w:t>
      </w:r>
      <w:r>
        <w:rPr/>
        <w:t xml:space="preserve">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w:t>
      </w:r>
      <w:r>
        <w:t>((</w:t>
      </w:r>
      <w:r>
        <w:rPr>
          <w:strike/>
        </w:rPr>
        <w:t xml:space="preserve">three hundred</w:t>
      </w:r>
      <w:r>
        <w:t>))</w:t>
      </w:r>
      <w:r>
        <w:rPr/>
        <w:t xml:space="preserve"> </w:t>
      </w:r>
      <w:r>
        <w:rPr>
          <w:u w:val="single"/>
        </w:rPr>
        <w:t xml:space="preserve">300</w:t>
      </w:r>
      <w:r>
        <w:rPr/>
        <w:t xml:space="preserve">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rPr/>
        <w:t xml:space="preserve">(39)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(40)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(41)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(42) "Train." A vehicle propelled by steam, electricity, or other motive power with or without cars coupled thereto, operated upon stationary rails, except streetcars;</w:t>
      </w:r>
    </w:p>
    <w:p>
      <w:pPr>
        <w:spacing w:before="0" w:after="0" w:line="408" w:lineRule="exact"/>
        <w:ind w:left="0" w:right="0" w:firstLine="576"/>
        <w:jc w:val="left"/>
      </w:pPr>
      <w:r>
        <w:rPr/>
        <w:t xml:space="preserve">(43)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p>
    <w:p>
      <w:pPr>
        <w:spacing w:before="0" w:after="0" w:line="408" w:lineRule="exact"/>
        <w:ind w:left="0" w:right="0" w:firstLine="576"/>
        <w:jc w:val="left"/>
      </w:pPr>
      <w:r>
        <w:rPr>
          <w:u w:val="single"/>
        </w:rPr>
        <w:t xml:space="preserve">(44)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(45)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u w:val="single"/>
        </w:rPr>
        <w:t xml:space="preserve">(46) "Population center" includes incorporated cities and towns, including their urban growth areas, and census-designated places;</w:t>
      </w:r>
    </w:p>
    <w:p>
      <w:pPr>
        <w:spacing w:before="0" w:after="0" w:line="408" w:lineRule="exact"/>
        <w:ind w:left="0" w:right="0" w:firstLine="576"/>
        <w:jc w:val="left"/>
      </w:pPr>
      <w:r>
        <w:rPr>
          <w:u w:val="single"/>
        </w:rPr>
        <w:t xml:space="preserve">(47)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rPr>
          <w:u w:val="single"/>
        </w:rPr>
        <w:t xml:space="preserve">(48)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140</w:t>
      </w:r>
      <w:r>
        <w:rPr/>
        <w:t xml:space="preserve"> and 2022 c 182 s 422 are each amended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 Transit agencies must submit documentation of a zero-fare policy for 18 years of age and under by October 1, 2022, to be eligible for the 2023-2025 biennium. Transit agencies that submit such fare policy documentation following the October 1, 2022, deadline shall become eligible for the next biennial distribution. </w:t>
      </w:r>
      <w:r>
        <w:rPr>
          <w:u w:val="single"/>
        </w:rPr>
        <w:t xml:space="preserve">To the extent practicable, transit agencies shall align implementation of youth zero-fare policies with equity and environmental justice principles consistent with recommendations from the environmental justice council, and ensure low-barrier accessibility of the program to all youth.</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392</w:t>
      </w:r>
      <w:r>
        <w:rPr/>
        <w:t xml:space="preserve">.</w:t>
      </w:r>
      <w:r>
        <w:t xml:space="preserve">040</w:t>
      </w:r>
      <w:r>
        <w:rPr/>
        <w:t xml:space="preserve"> and 2022 c 182 s 429 are each amended to read as follows:</w:t>
      </w:r>
    </w:p>
    <w:p>
      <w:pPr>
        <w:spacing w:before="0" w:after="0" w:line="408" w:lineRule="exact"/>
        <w:ind w:left="0" w:right="0" w:firstLine="576"/>
        <w:jc w:val="left"/>
      </w:pP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w:t>
      </w:r>
      <w:r>
        <w:rPr>
          <w:u w:val="single"/>
        </w:rPr>
        <w:t xml:space="preserve">, and also nongrant-related funding, including revenues generated by an electric utility from credits under the clean fuels program for transportation electrification programs or projects pursuant to RCW 70A.535.080(2)</w:t>
      </w:r>
      <w:r>
        <w:rPr/>
        <w:t xml:space="preserve">;</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(d) Development of a robust public and private outreach plan that includes engaging with:</w:t>
      </w:r>
    </w:p>
    <w:p>
      <w:pPr>
        <w:spacing w:before="0" w:after="0" w:line="408" w:lineRule="exact"/>
        <w:ind w:left="0" w:right="0" w:firstLine="576"/>
        <w:jc w:val="left"/>
      </w:pPr>
      <w:r>
        <w:rPr/>
        <w:t xml:space="preserve">(i) Community organizers and the environmental justice council to develop community-driven programs to address zero emissions transportation needs and priorities in overburdened communities; and</w:t>
      </w:r>
    </w:p>
    <w:p>
      <w:pPr>
        <w:spacing w:before="0" w:after="0" w:line="408" w:lineRule="exact"/>
        <w:ind w:left="0" w:right="0" w:firstLine="576"/>
        <w:jc w:val="left"/>
      </w:pPr>
      <w:r>
        <w:rPr/>
        <w:t xml:space="preserve">(ii) Local governments to explore procurement opportunities and work with local government and community programs to support electrification;</w:t>
      </w:r>
    </w:p>
    <w:p>
      <w:pPr>
        <w:spacing w:before="0" w:after="0" w:line="408" w:lineRule="exact"/>
        <w:ind w:left="0" w:right="0" w:firstLine="576"/>
        <w:jc w:val="left"/>
      </w:pPr>
      <w:r>
        <w:rPr/>
        <w:t xml:space="preserve">(e) Creation of an industry electric vehicle advisory committee; and</w:t>
      </w:r>
    </w:p>
    <w:p>
      <w:pPr>
        <w:spacing w:before="0" w:after="0" w:line="408" w:lineRule="exact"/>
        <w:ind w:left="0" w:right="0" w:firstLine="576"/>
        <w:jc w:val="left"/>
      </w:pPr>
      <w:r>
        <w:rPr/>
        <w:t xml:space="preserve">(f) Ensuring the statewide transportation electrification strategy, grant distribution, programs, and activities associated with advancing transportation electrification benefit vulnerable and overburdened communities.</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are remedial in nature and apply retroactively to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060</w:t>
      </w:r>
      <w:r>
        <w:rPr/>
        <w:t xml:space="preserve"> is recodified as a section in chapter 47.04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October 1, 2023.</w:t>
      </w:r>
    </w:p>
    <w:p/>
    <w:p>
      <w:pPr>
        <w:jc w:val="center"/>
      </w:pPr>
      <w:r>
        <w:rPr>
          <w:b/>
        </w:rPr>
        <w:t>--- END ---</w:t>
      </w:r>
    </w:p>
    <w:sectPr>
      <w:pgNumType w:start="1"/>
      <w:footerReference xmlns:r="http://schemas.openxmlformats.org/officeDocument/2006/relationships" r:id="R94874104a58c4c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e996e4ba141cd" /><Relationship Type="http://schemas.openxmlformats.org/officeDocument/2006/relationships/footer" Target="/word/footer1.xml" Id="R94874104a58c4cdc" /></Relationships>
</file>