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7b4099ff44d9e" /></Relationships>
</file>

<file path=word/document.xml><?xml version="1.0" encoding="utf-8"?>
<w:document xmlns:w="http://schemas.openxmlformats.org/wordprocessingml/2006/main">
  <w:body>
    <w:p>
      <w:r>
        <w:t>H-1325.1</w:t>
      </w:r>
    </w:p>
    <w:p>
      <w:pPr>
        <w:jc w:val="center"/>
      </w:pPr>
      <w:r>
        <w:t>_______________________________________________</w:t>
      </w:r>
    </w:p>
    <w:p/>
    <w:p>
      <w:pPr>
        <w:jc w:val="center"/>
      </w:pPr>
      <w:r>
        <w:rPr>
          <w:b/>
        </w:rPr>
        <w:t>SUBSTITUTE HOUSE BILL 1596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Kloba, Bateman, Goodman, Springer, Reed, Ryu, Reeves, Ramel, Doglio, Pollet, and Hackney)</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increase affordable housing in their communities; adding a new chapter to Title 84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"Governing authority" means the local legislative authority of a county with a population of more than 1,500,000, or of a city within such a county, that has jurisdiction over the property for which an exemption may be applied under this chapter.</w:t>
      </w:r>
    </w:p>
    <w:p>
      <w:pPr>
        <w:spacing w:before="0" w:after="0" w:line="408" w:lineRule="exact"/>
        <w:ind w:left="0" w:right="0" w:firstLine="576"/>
        <w:jc w:val="left"/>
      </w:pPr>
      <w:r>
        <w:rPr/>
        <w:t xml:space="preserve">(2) "Health and quality standards" means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 The property must comply with one or more standards of the applicable state or local building or housing codes on or after July 23, 1995.</w:t>
      </w:r>
    </w:p>
    <w:p>
      <w:pPr>
        <w:spacing w:before="0" w:after="0" w:line="408" w:lineRule="exact"/>
        <w:ind w:left="0" w:right="0" w:firstLine="576"/>
        <w:jc w:val="left"/>
      </w:pPr>
      <w:r>
        <w:rPr/>
        <w:t xml:space="preserve">(3) "Household" means a single person, family, or unrelated persons living together.</w:t>
      </w:r>
    </w:p>
    <w:p>
      <w:pPr>
        <w:spacing w:before="0" w:after="0" w:line="408" w:lineRule="exact"/>
        <w:ind w:left="0" w:right="0" w:firstLine="576"/>
        <w:jc w:val="left"/>
      </w:pPr>
      <w:r>
        <w:rPr/>
        <w:t xml:space="preserve">(4) "Owner" means the property owner of record.</w:t>
      </w:r>
    </w:p>
    <w:p>
      <w:pPr>
        <w:spacing w:before="0" w:after="0" w:line="408" w:lineRule="exact"/>
        <w:ind w:left="0" w:right="0" w:firstLine="576"/>
        <w:jc w:val="left"/>
      </w:pPr>
      <w:r>
        <w:rPr/>
        <w:t xml:space="preserve">(5) "Single-family dwelling" means an individual detached dwelling permanently affixed to the ground.</w:t>
      </w:r>
    </w:p>
    <w:p>
      <w:pPr>
        <w:spacing w:before="0" w:after="0" w:line="408" w:lineRule="exact"/>
        <w:ind w:left="0" w:right="0" w:firstLine="576"/>
        <w:jc w:val="left"/>
      </w:pPr>
      <w:r>
        <w:rPr/>
        <w:t xml:space="preserve">(6) "Very low-income household" means a single person, family, or unrelated persons living together whose adjusted income is at or below 50 percent of the area median income adjusted for family size, for the county in which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by ordinance or resolution establish an affordable housing incentive program to preserve affordable housing within the city that meets health and quality standards for very low-income households at risk of displacement or that cannot afford market rate housing. A county governing authority may by ordinance or resolution establish an affordable housing incentive program for unincorporated areas to preserve affordable housing that meets health and quality standards for very low-income households at risk of displacement or that cannot afford market 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affordable housing incentive program adopted by the governing authority under this chapter must include qualifying standards for very low-income household rental housing. The standards must include rent limits and income guidelines consistent with local housing needs to assist households that cannot afford market rate housing.</w:t>
      </w:r>
    </w:p>
    <w:p>
      <w:pPr>
        <w:spacing w:before="0" w:after="0" w:line="408" w:lineRule="exact"/>
        <w:ind w:left="0" w:right="0" w:firstLine="576"/>
        <w:jc w:val="left"/>
      </w:pPr>
      <w:r>
        <w:rPr/>
        <w:t xml:space="preserve">(2) In order to qualify for a property tax exemption under this chapter, an accessory dwelling unit attached, built-in, or detached to a single-family dwelling must be affordable to very low-income households.</w:t>
      </w:r>
    </w:p>
    <w:p>
      <w:pPr>
        <w:spacing w:before="0" w:after="0" w:line="408" w:lineRule="exact"/>
        <w:ind w:left="0" w:right="0" w:firstLine="576"/>
        <w:jc w:val="left"/>
      </w:pPr>
      <w:r>
        <w:rPr/>
        <w:t xml:space="preserve">(3) Annual household income requalification is not required after initial qualification, except in the case of a change or substitution of adults living in the unit.</w:t>
      </w:r>
    </w:p>
    <w:p>
      <w:pPr>
        <w:spacing w:before="0" w:after="0" w:line="408" w:lineRule="exact"/>
        <w:ind w:left="0" w:right="0" w:firstLine="576"/>
        <w:jc w:val="left"/>
      </w:pPr>
      <w:r>
        <w:rPr/>
        <w:t xml:space="preserve">(4) Rent levels for qualifying affordable housing units, including any mandatory fees for tenant-paid utilities that are required as a condition of tenancy, may not exceed 30 percent of the income limit for the very low-income housing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single-family dwellings permanently affixed to the land, the value of residential housing improvements and land qualifying under this chapter is exempt from ad valorem property taxation for six successive years beginning January 1st of the year immediately following the calendar year that the certificate of tax exemption is filed with the county assessor in accordance with section 10 of this act. The exemption for qualifying single-family properties may be repeatedly renewed for successive six-year periods as long as the property continues to comply with the affordable housing incentive program during each six-year period.</w:t>
      </w:r>
    </w:p>
    <w:p>
      <w:pPr>
        <w:spacing w:before="0" w:after="0" w:line="408" w:lineRule="exact"/>
        <w:ind w:left="0" w:right="0" w:firstLine="576"/>
        <w:jc w:val="left"/>
      </w:pPr>
      <w:r>
        <w:rPr/>
        <w:t xml:space="preserve">(2) The exemption provided under this chapter is in addition to any tax credits, grants, or other incentives provided by law to increase the rental affordability.</w:t>
      </w:r>
    </w:p>
    <w:p>
      <w:pPr>
        <w:spacing w:before="0" w:after="0" w:line="408" w:lineRule="exact"/>
        <w:ind w:left="0" w:right="0" w:firstLine="576"/>
        <w:jc w:val="left"/>
      </w:pPr>
      <w:r>
        <w:rPr/>
        <w:t xml:space="preserve">(3) The exemption in this chapter does not apply to any nonqualifying portions of a building or land.</w:t>
      </w:r>
    </w:p>
    <w:p>
      <w:pPr>
        <w:spacing w:before="0" w:after="0" w:line="408" w:lineRule="exact"/>
        <w:ind w:left="0" w:right="0" w:firstLine="576"/>
        <w:jc w:val="left"/>
      </w:pPr>
      <w:r>
        <w:rPr/>
        <w:t xml:space="preserve">(4) The governing authority must provide local taxing districts in the designated exemption area notice and an opportunity to be heard prior to establishing an affordable housing incentive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property tax exemption under this chapter, in addition to any other requirements in this chapter, the property must be in compliance with the following for the entire exemption period:</w:t>
      </w:r>
    </w:p>
    <w:p>
      <w:pPr>
        <w:spacing w:before="0" w:after="0" w:line="408" w:lineRule="exact"/>
        <w:ind w:left="0" w:right="0" w:firstLine="576"/>
        <w:jc w:val="left"/>
      </w:pPr>
      <w:r>
        <w:rPr/>
        <w:t xml:space="preserve">(1) The qualifying property must be part of an affordable attached, built-in, or detached dwelling unit that is accessory to a single-family dwelling; </w:t>
      </w:r>
    </w:p>
    <w:p>
      <w:pPr>
        <w:spacing w:before="0" w:after="0" w:line="408" w:lineRule="exact"/>
        <w:ind w:left="0" w:right="0" w:firstLine="576"/>
        <w:jc w:val="left"/>
      </w:pPr>
      <w:r>
        <w:rPr/>
        <w:t xml:space="preserve">(2) Only the attached, built-in, or detached accessory dwelling unit and underlying land dedicated solely to the accessory dwelling unit may qualify for the exemption. The owner must continue to reside in either the main house or the accessory dwelling unit for the exemption to apply; and</w:t>
      </w:r>
    </w:p>
    <w:p>
      <w:pPr>
        <w:spacing w:before="0" w:after="0" w:line="408" w:lineRule="exact"/>
        <w:ind w:left="0" w:right="0" w:firstLine="576"/>
        <w:jc w:val="left"/>
      </w:pPr>
      <w:r>
        <w:rPr/>
        <w:t xml:space="preserve">(3) The property owner must enter into a contract with the city or county agreeing to terms and conditions required to satisfy eligibility criteria of the affordable housing incentive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under this chapter, the property must also comply with all applicable land use regulations; zoning requirements; building and housing code requirements, including space and occupancy, structural, mechanical, fire, safety, and security standards; and health and quality standards as established in section 2 of this act. At a minimum, the standard for housing quality must be substantially equivalent to uniform physical condition standards. The governing authority may establish additional standards to meet local needs.</w:t>
      </w:r>
    </w:p>
    <w:p>
      <w:pPr>
        <w:spacing w:before="0" w:after="0" w:line="408" w:lineRule="exact"/>
        <w:ind w:left="0" w:right="0" w:firstLine="576"/>
        <w:jc w:val="left"/>
      </w:pPr>
      <w:r>
        <w:rPr/>
        <w:t xml:space="preserve">(2) The property must be inspected for compliance with subsection (1) of this section prior to awarding the tax exemption under this chapter and thereafter, as established by the governing authority. The governing authority must deny an application for tax exemption for failure to comply with health and quality standards as described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limit participation in the affordable housing incentive program to:</w:t>
      </w:r>
    </w:p>
    <w:p>
      <w:pPr>
        <w:spacing w:before="0" w:after="0" w:line="408" w:lineRule="exact"/>
        <w:ind w:left="0" w:right="0" w:firstLine="576"/>
        <w:jc w:val="left"/>
      </w:pPr>
      <w:r>
        <w:rPr/>
        <w:t xml:space="preserve">(a) Particular targeted areas that present particular risk or displacement or that provide unique affordable housing opportunities near community infrastructure such as transportation or public schools; and</w:t>
      </w:r>
    </w:p>
    <w:p>
      <w:pPr>
        <w:spacing w:before="0" w:after="0" w:line="408" w:lineRule="exact"/>
        <w:ind w:left="0" w:right="0" w:firstLine="576"/>
        <w:jc w:val="left"/>
      </w:pPr>
      <w:r>
        <w:rPr/>
        <w:t xml:space="preserve">(b) Detached dwelling units that are accessory to a single-family dwelling.</w:t>
      </w:r>
    </w:p>
    <w:p>
      <w:pPr>
        <w:spacing w:before="0" w:after="0" w:line="408" w:lineRule="exact"/>
        <w:ind w:left="0" w:right="0" w:firstLine="576"/>
        <w:jc w:val="left"/>
      </w:pPr>
      <w:r>
        <w:rPr/>
        <w:t xml:space="preserve">(2) The governing authority must adopt and implement standards to be utilized in considering applications and making the determinations required under this chapter. The standards must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and requirements as described in section 6 of this act;</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3 of this act;</w:t>
      </w:r>
    </w:p>
    <w:p>
      <w:pPr>
        <w:spacing w:before="0" w:after="0" w:line="408" w:lineRule="exact"/>
        <w:ind w:left="0" w:right="0" w:firstLine="576"/>
        <w:jc w:val="left"/>
      </w:pPr>
      <w:r>
        <w:rPr/>
        <w:t xml:space="preserve">(e) Documentation submittal requirements necessary to establish income eligibility of households in affordable housing units; and</w:t>
      </w:r>
    </w:p>
    <w:p>
      <w:pPr>
        <w:spacing w:before="0" w:after="0" w:line="408" w:lineRule="exact"/>
        <w:ind w:left="0" w:right="0" w:firstLine="576"/>
        <w:jc w:val="left"/>
      </w:pPr>
      <w:r>
        <w:rPr/>
        <w:t xml:space="preserve">(f) Fees required of the applicant in order to process the application and monitor compliance with eligibility criteria. Such fees must be commensurate with the cost anticipated by the governing authority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an application under this chapter must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and other requirements specified in the governing authority's adopted exemption program;</w:t>
      </w:r>
    </w:p>
    <w:p>
      <w:pPr>
        <w:spacing w:before="0" w:after="0" w:line="408" w:lineRule="exact"/>
        <w:ind w:left="0" w:right="0" w:firstLine="576"/>
        <w:jc w:val="left"/>
      </w:pPr>
      <w:r>
        <w:rPr/>
        <w:t xml:space="preserve">(b) A description of the project, including the floor plan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(d) A certification of family size and annual income requirements in a form acceptable to the governing authority for designated affordable housing units;</w:t>
      </w:r>
    </w:p>
    <w:p>
      <w:pPr>
        <w:spacing w:before="0" w:after="0" w:line="408" w:lineRule="exact"/>
        <w:ind w:left="0" w:right="0" w:firstLine="576"/>
        <w:jc w:val="left"/>
      </w:pPr>
      <w:r>
        <w:rPr/>
        <w:t xml:space="preserve">(2) The applicant must verify the information provided in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approval of an application meeting the requirements of section 8 of this act, the applicable city or county agency must inspect the property to certify compliance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its designated administrative official or agent may approve the application if it finds that the property and owner satisfy the requirements of this chapter.</w:t>
      </w:r>
    </w:p>
    <w:p>
      <w:pPr>
        <w:spacing w:before="0" w:after="0" w:line="408" w:lineRule="exact"/>
        <w:ind w:left="0" w:right="0" w:firstLine="576"/>
        <w:jc w:val="left"/>
      </w:pPr>
      <w:r>
        <w:rPr/>
        <w:t xml:space="preserve">(2) If the application is approved, the governing authority must issue the owner a certificate of tax exemption. The certificate must contain a statement specifying that the property satisfies the requirements of this chapter. The governing authority must submit a copy of the certificate to the assessor no later than August 1st of the year before the exemption is to be applied.</w:t>
      </w:r>
    </w:p>
    <w:p>
      <w:pPr>
        <w:spacing w:before="0" w:after="0" w:line="408" w:lineRule="exact"/>
        <w:ind w:left="0" w:right="0" w:firstLine="576"/>
        <w:jc w:val="left"/>
      </w:pPr>
      <w:r>
        <w:rPr/>
        <w:t xml:space="preserve">(3) If the application is denied, the governing authority must state in writing the reasons for denial and issue notice to the applicant by regular or certified mail to the applicant's last known address, or by other means reasonably calculated to provide notice, within 10 days of the denial.</w:t>
      </w:r>
    </w:p>
    <w:p>
      <w:pPr>
        <w:spacing w:before="0" w:after="0" w:line="408" w:lineRule="exact"/>
        <w:ind w:left="0" w:right="0" w:firstLine="576"/>
        <w:jc w:val="left"/>
      </w:pPr>
      <w:r>
        <w:rPr/>
        <w:t xml:space="preserve">(4) An applicant may appeal the governing authority's decision to the governing authority or its designated agent within 30 days after receipt. The appeal must be based upon the record made before the administrative official or commission, and the burden is on the applicant to show that the governing authority's decision is not supported by substantial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receiving a tax exemption under this chapter must obtain from each tenant living in a designated affordable housing unit an annual certification of family size and annual income in a form acceptable to the governing authority.</w:t>
      </w:r>
    </w:p>
    <w:p>
      <w:pPr>
        <w:spacing w:before="0" w:after="0" w:line="408" w:lineRule="exact"/>
        <w:ind w:left="0" w:right="0" w:firstLine="576"/>
        <w:jc w:val="left"/>
      </w:pPr>
      <w:r>
        <w:rPr/>
        <w:t xml:space="preserve">(2) The owner must file an annual report with the governing authority's designated official indicating the following:</w:t>
      </w:r>
    </w:p>
    <w:p>
      <w:pPr>
        <w:spacing w:before="0" w:after="0" w:line="408" w:lineRule="exact"/>
        <w:ind w:left="0" w:right="0" w:firstLine="576"/>
        <w:jc w:val="left"/>
      </w:pPr>
      <w:r>
        <w:rPr/>
        <w:t xml:space="preserve">(a) Family size and annual income for each tenant living in a designated affordable housing rental unit, and a statement that the property is in compliance with affordable housing requirements described in section 3 of this act; and</w:t>
      </w:r>
    </w:p>
    <w:p>
      <w:pPr>
        <w:spacing w:before="0" w:after="0" w:line="408" w:lineRule="exact"/>
        <w:ind w:left="0" w:right="0" w:firstLine="576"/>
        <w:jc w:val="left"/>
      </w:pPr>
      <w:r>
        <w:rPr/>
        <w:t xml:space="preserve">(b) Any other information required by the city or county to determine compliance with program requirements.</w:t>
      </w:r>
    </w:p>
    <w:p>
      <w:pPr>
        <w:spacing w:before="0" w:after="0" w:line="408" w:lineRule="exact"/>
        <w:ind w:left="0" w:right="0" w:firstLine="576"/>
        <w:jc w:val="left"/>
      </w:pPr>
      <w:r>
        <w:rPr/>
        <w:t xml:space="preserve">(3) A governing authority that issues certificates of tax exemption under this chapter must report annually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monthly rent amount for each affordable unit; and</w:t>
      </w:r>
    </w:p>
    <w:p>
      <w:pPr>
        <w:spacing w:before="0" w:after="0" w:line="408" w:lineRule="exact"/>
        <w:ind w:left="0" w:right="0" w:firstLine="576"/>
        <w:jc w:val="left"/>
      </w:pPr>
      <w:r>
        <w:rPr/>
        <w:t xml:space="preserve">(c) The dollar amount of the tax exemption issued for each project and the total dollar amount of tax exemptions granted within the city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Land and improvements exempted under this chapter continue to be exempted for the applicable period under section 4 of this act, if the improvements continue to satisfy all applicable conditions. If the owner intends to discontinue compliance with the affordable housing requirements as described in section 4 of this act or any other condition to the exemption, the owner must notify tenants and the jurisdiction within 60 days of the owner's intended discontinuance. If the city or county is notified by the owner of intent to discontinue compliance, the tax exemption must be canceled. If the city or county discovers that a portion of the property no longer meets the qualifications of the city's or county's exemption program and the owner did not comply with the terms and conditions required in section 5(3) of this act, the tax exemption must be canceled, and the following must occur:</w:t>
      </w:r>
    </w:p>
    <w:p>
      <w:pPr>
        <w:spacing w:before="0" w:after="0" w:line="408" w:lineRule="exact"/>
        <w:ind w:left="0" w:right="0" w:firstLine="576"/>
        <w:jc w:val="left"/>
      </w:pPr>
      <w:r>
        <w:rPr/>
        <w:t xml:space="preserve">(a) Additional real property tax must be imposed on the property. This additional tax is the difference between the property tax paid and the property tax that would have been paid if the property had included the value of the nonqualifying improvements, for each of the prior six years during which the exemption was in effect;</w:t>
      </w:r>
    </w:p>
    <w:p>
      <w:pPr>
        <w:spacing w:before="0" w:after="0" w:line="408" w:lineRule="exact"/>
        <w:ind w:left="0" w:right="0" w:firstLine="576"/>
        <w:jc w:val="left"/>
      </w:pPr>
      <w:r>
        <w:rPr/>
        <w:t xml:space="preserve">(b) Additional interest is owed upon the amounts of the additional property tax at the same statutory rate charged on delinquent property taxes, calculated from the dates on which the additional tax would have been payable without the tax exemption;</w:t>
      </w:r>
    </w:p>
    <w:p>
      <w:pPr>
        <w:spacing w:before="0" w:after="0" w:line="408" w:lineRule="exact"/>
        <w:ind w:left="0" w:right="0" w:firstLine="576"/>
        <w:jc w:val="left"/>
      </w:pPr>
      <w:r>
        <w:rPr/>
        <w:t xml:space="preserve">(c) A penalty is owed in the amount equal to 20 percent of the additional property tax imposed under this section; and</w:t>
      </w:r>
    </w:p>
    <w:p>
      <w:pPr>
        <w:spacing w:before="0" w:after="0" w:line="408" w:lineRule="exact"/>
        <w:ind w:left="0" w:right="0" w:firstLine="576"/>
        <w:jc w:val="left"/>
      </w:pPr>
      <w:r>
        <w:rPr/>
        <w:t xml:space="preserve">(d) The additional tax, interest, and penalty are declared to be a lien on the real property and attach at the time the property or portion of the property is removed from the tax exemption program. The lien has priority to, and must be fully paid and satisfied before, a recognizance, mortgage, judgment, debt, obligation, or responsibility to or with which the land may become charged or liable, except that the lien is of equal rank with liens for amounts deferred under chapter 84.37 or 84.38 RCW.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of the governing authority must notify the taxpayer, shown by the tax rolls by certified mail, and the assessor, of the determination to cancel the tax exemption. The owner may appeal the determination within 30 days of the date of the notice by filing a notice of appeal with the clerk of the governing authority, specifying the factual and legal basis upon which the determination of cancellation is alleged to be erroneous. The governing authority or its authorized agent may hear the appeal. At the hearing, all affected parties may be heard and all competent evidence received. The burden is on the taxpayer to show that the governing authority's decision is not supported by substantial evidence. After the hearing, the decision maker must affirm, modify, or overturn the decision to cancel the tax exemption based on the evidence received. An aggrieved party may appeal the decision of the deciding body or officer to the superior court. The governing authority must also notify the assessor of the final disposition of the appeal.</w:t>
      </w:r>
    </w:p>
    <w:p>
      <w:pPr>
        <w:spacing w:before="0" w:after="0" w:line="408" w:lineRule="exact"/>
        <w:ind w:left="0" w:right="0" w:firstLine="576"/>
        <w:jc w:val="left"/>
      </w:pPr>
      <w:r>
        <w:rPr/>
        <w:t xml:space="preserve">(3) The assessor must annually value the exempt and nonexempt portions of the property and improvements as necessary to permit the correction of the rolls in accordance with this 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chapter . . ., Laws of 2023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preserve quality and healthy affordable housing where housing options, including quality and healthy affordable housing options, are severely limited. It is the legislature's intent to provide an exemption from ad valorem property taxation for residential improvements and land qualifying under chapter . . ., Laws of 2023 (this act) and to provide incentives to property owners to preserve affordable housing units for very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fa7389a86c8a43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abe7de1264edb" /><Relationship Type="http://schemas.openxmlformats.org/officeDocument/2006/relationships/footer" Target="/word/footer1.xml" Id="Rfa7389a86c8a43dc" /></Relationships>
</file>