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f8fbfb8474bfb" /></Relationships>
</file>

<file path=word/document.xml><?xml version="1.0" encoding="utf-8"?>
<w:document xmlns:w="http://schemas.openxmlformats.org/wordprocessingml/2006/main">
  <w:body>
    <w:p>
      <w:r>
        <w:t>H-1135.1</w:t>
      </w:r>
    </w:p>
    <w:p>
      <w:pPr>
        <w:jc w:val="center"/>
      </w:pPr>
      <w:r>
        <w:t>_______________________________________________</w:t>
      </w:r>
    </w:p>
    <w:p/>
    <w:p>
      <w:pPr>
        <w:jc w:val="center"/>
      </w:pPr>
      <w:r>
        <w:rPr>
          <w:b/>
        </w:rPr>
        <w:t>SUBSTITUTE HOUSE BILL 1551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Pollet, Doglio, Fitzgibbon, Berry, Gregerson, Fosse, and Bateman)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lead in cookware;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"Cookware" means any metal pots, pans, bakeware, rice cookers, pressure cookers, and other containers and devices intended for the preparation or storage of food.</w:t>
      </w:r>
    </w:p>
    <w:p>
      <w:pPr>
        <w:spacing w:before="0" w:after="0" w:line="408" w:lineRule="exact"/>
        <w:ind w:left="0" w:right="0" w:firstLine="576"/>
        <w:jc w:val="left"/>
      </w:pPr>
      <w:r>
        <w:rPr/>
        <w:t xml:space="preserve">(2) "Component" includes separate or distinct parts of the cookware including, but not limited to, accessories such as lids, knobs, handles and handle assemblies, rivets, fasteners, valves, and vent pipes.</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(5)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no manufacturer or wholesaler may manufacture, sell, offer for sale, distribute for sale, or distribute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(2)(a) Beginning January 1, 2025, no retailer may knowingly sell or knowingly offer for sale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(b) Retailers who unknowingly sell products that are restricted from sale under this chapter are not liable under this chapter.</w:t>
      </w:r>
    </w:p>
    <w:p>
      <w:pPr>
        <w:spacing w:before="0" w:after="0" w:line="408" w:lineRule="exact"/>
        <w:ind w:left="0" w:right="0" w:firstLine="576"/>
        <w:jc w:val="left"/>
      </w:pPr>
      <w:r>
        <w:rPr/>
        <w:t xml:space="preserve">(c) The sale or purchase of any previously owned cookware or cookware components containing lead made in casual or isolated sales as defined in RCW 82.04.040, or by a nonprofit organization, is exempt from this chapter.</w:t>
      </w:r>
    </w:p>
    <w:p>
      <w:pPr>
        <w:spacing w:before="0" w:after="0" w:line="408" w:lineRule="exact"/>
        <w:ind w:left="0" w:right="0" w:firstLine="576"/>
        <w:jc w:val="left"/>
      </w:pPr>
      <w:r>
        <w:rPr/>
        <w:t xml:space="preserve">(3) The department, in consultation with the department of health, may lower the five part per million limit established in subsection (1) of this section by rule if it determines that the lower limit is:</w:t>
      </w:r>
    </w:p>
    <w:p>
      <w:pPr>
        <w:spacing w:before="0" w:after="0" w:line="408" w:lineRule="exact"/>
        <w:ind w:left="0" w:right="0" w:firstLine="576"/>
        <w:jc w:val="left"/>
      </w:pPr>
      <w:r>
        <w:rPr/>
        <w:t xml:space="preserve">(a) Feasible for cookware and cookware component manufacturers to achieve; and</w:t>
      </w:r>
    </w:p>
    <w:p>
      <w:pPr>
        <w:spacing w:before="0" w:after="0" w:line="408" w:lineRule="exact"/>
        <w:ind w:left="0" w:right="0" w:firstLine="576"/>
        <w:jc w:val="left"/>
      </w:pPr>
      <w:r>
        <w:rPr/>
        <w:t xml:space="preserve">(b) Necessary to protect human health, including the health of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A person violating a requirement of this chapter, a rule adopted under this chapter, or an order issued under this chapter, is subject to a civil penalty not to exceed $5,000 for each violation in the case of a first offense. Repeat violations are subject to a civil penalty not to exceed $10,000 for each repeat offense.</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shall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t>
      </w:r>
      <w:r>
        <w:rPr>
          <w:u w:val="single"/>
        </w:rPr>
        <w:t xml:space="preserve">and section 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f2a86865f434e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19713a50b4c77" /><Relationship Type="http://schemas.openxmlformats.org/officeDocument/2006/relationships/footer" Target="/word/footer1.xml" Id="R3f2a86865f434eee" /></Relationships>
</file>