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44b36304043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 Goodman)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9.94A.030, 10.05.060, 46.20.355, 46.20.385, 46.20.720, 46.20.740, and 46.61.5055;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w:t>
      </w:r>
      <w:r>
        <w:rPr>
          <w:u w:val="single"/>
        </w:rPr>
        <w:t xml:space="preserve">(i)</w:t>
      </w:r>
      <w:r>
        <w:rPr/>
        <w:t xml:space="preserve"> Nonfelony driving while under the influence of intoxicating liquor or any drug (RCW 46.61.502)</w:t>
      </w:r>
      <w:r>
        <w:t>((</w:t>
      </w:r>
      <w:r>
        <w:rPr>
          <w:strike/>
        </w:rPr>
        <w:t xml:space="preserve">, nonfelony</w:t>
      </w:r>
      <w:r>
        <w:t>))</w:t>
      </w:r>
      <w:r>
        <w:rPr>
          <w:u w:val="single"/>
        </w:rPr>
        <w:t xml:space="preserve">;</w:t>
      </w:r>
    </w:p>
    <w:p>
      <w:pPr>
        <w:spacing w:before="0" w:after="0" w:line="408" w:lineRule="exact"/>
        <w:ind w:left="0" w:right="0" w:firstLine="576"/>
        <w:jc w:val="left"/>
      </w:pPr>
      <w:r>
        <w:rPr>
          <w:u w:val="single"/>
        </w:rPr>
        <w:t xml:space="preserve">(ii) Nonfelony</w:t>
      </w:r>
      <w:r>
        <w:rPr/>
        <w:t xml:space="preserve"> actual physical control while under the influence of intoxicating liquor or any drug (RCW 46.61.504)</w:t>
      </w:r>
      <w:r>
        <w:t>((</w:t>
      </w:r>
      <w:r>
        <w:rPr>
          <w:strike/>
        </w:rPr>
        <w:t xml:space="preserve">, reckless</w:t>
      </w:r>
      <w:r>
        <w:t>))</w:t>
      </w:r>
      <w:r>
        <w:rPr>
          <w:u w:val="single"/>
        </w:rPr>
        <w:t xml:space="preserve">;</w:t>
      </w:r>
    </w:p>
    <w:p>
      <w:pPr>
        <w:spacing w:before="0" w:after="0" w:line="408" w:lineRule="exact"/>
        <w:ind w:left="0" w:right="0" w:firstLine="576"/>
        <w:jc w:val="left"/>
      </w:pPr>
      <w:r>
        <w:rPr>
          <w:u w:val="single"/>
        </w:rPr>
        <w:t xml:space="preserve">(iii) Reckless</w:t>
      </w:r>
      <w:r>
        <w:rPr/>
        <w:t xml:space="preserve"> driving (RCW 46.61.500)</w:t>
      </w:r>
      <w:r>
        <w:t>((</w:t>
      </w:r>
      <w:r>
        <w:rPr>
          <w:strike/>
        </w:rPr>
        <w:t xml:space="preserve">, or hit-and-run</w:t>
      </w:r>
      <w:r>
        <w:t>))</w:t>
      </w:r>
      <w:r>
        <w:rPr>
          <w:u w:val="single"/>
        </w:rPr>
        <w:t xml:space="preserve">;</w:t>
      </w:r>
    </w:p>
    <w:p>
      <w:pPr>
        <w:spacing w:before="0" w:after="0" w:line="408" w:lineRule="exact"/>
        <w:ind w:left="0" w:right="0" w:firstLine="576"/>
        <w:jc w:val="left"/>
      </w:pPr>
      <w:r>
        <w:rPr>
          <w:u w:val="single"/>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u w:val="single"/>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u w:val="single"/>
        </w:rPr>
        <w:t xml:space="preserve">(vi) Hit-and-run</w:t>
      </w:r>
      <w:r>
        <w:rPr/>
        <w:t xml:space="preserve">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u w:val="single"/>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060</w:t>
      </w:r>
      <w:r>
        <w:rPr/>
        <w:t xml:space="preserve"> and 2009 c 135 s 1 are each amended to read as follows:</w:t>
      </w:r>
    </w:p>
    <w:p>
      <w:pPr>
        <w:spacing w:before="0" w:after="0" w:line="408" w:lineRule="exact"/>
        <w:ind w:left="0" w:right="0" w:firstLine="576"/>
        <w:jc w:val="left"/>
      </w:pPr>
      <w:r>
        <w:rPr/>
        <w:t xml:space="preserve">If the report recommends treatment, the court shall examine the treatment plan. If it approves the plan and the petitioner agrees to comply with its terms and conditions and agrees to pay the cost thereof, if able to do so, or arrange for the treatment, an entry shall be made upon the person's court docket showing that the person has been accepted for deferred prosecution. A copy of the treatment plan shall be filed with the court. If the charge be one that an abstract of the docket showing the charge, the date of the violation for which the charge was made, and the date of petitioner's acceptance is required to be sent to the department of licensing, an abstract shall be sent, and the department of licensing shall make an entry of the charge and of the petitioner's acceptance for deferred prosecution on the department's driving record of the petitioner. The entry is not a conviction for purposes of Title 46 RCW. Upon receipt of the abstract of the docket, the department shall issue </w:t>
      </w:r>
      <w:r>
        <w:rPr>
          <w:u w:val="single"/>
        </w:rPr>
        <w:t xml:space="preserve">notice that 45 days after receipt,</w:t>
      </w:r>
      <w:r>
        <w:rPr/>
        <w:t xml:space="preserve"> the petitioner </w:t>
      </w:r>
      <w:r>
        <w:rPr>
          <w:u w:val="single"/>
        </w:rPr>
        <w:t xml:space="preserve">must apply for</w:t>
      </w:r>
      <w:r>
        <w:rPr/>
        <w:t xml:space="preserve"> a probationary license in accordance with RCW 46.20.355, and the petitioner's driver's license shall be on probationary status for five years from the date of the violation that gave rise to the charge. The department shall maintain the record </w:t>
      </w:r>
      <w:r>
        <w:t>((</w:t>
      </w:r>
      <w:r>
        <w:rPr>
          <w:strike/>
        </w:rPr>
        <w:t xml:space="preserve">for ten years from date of entry of the order granting deferred prosecution</w:t>
      </w:r>
      <w:r>
        <w:t>))</w:t>
      </w:r>
      <w:r>
        <w:rPr/>
        <w:t xml:space="preserve"> </w:t>
      </w:r>
      <w:r>
        <w:rPr>
          <w:u w:val="single"/>
        </w:rPr>
        <w:t xml:space="preserve">consistent with the requirements of RCW 46.01.260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2020 c 330 s 8 are each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w:t>
      </w:r>
      <w:r>
        <w:rPr>
          <w:u w:val="single"/>
        </w:rPr>
        <w:t xml:space="preserve">issue notice that 45 days after receipt, the person must apply for a probationary license, and</w:t>
      </w:r>
      <w:r>
        <w:rPr/>
        <w:t xml:space="preserve">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w:t>
      </w:r>
      <w:r>
        <w:t>((</w:t>
      </w:r>
      <w:r>
        <w:rPr>
          <w:strike/>
        </w:rPr>
        <w:t xml:space="preserve">thirty</w:t>
      </w:r>
      <w:r>
        <w:t>))</w:t>
      </w:r>
      <w:r>
        <w:rPr/>
        <w:t xml:space="preserve"> </w:t>
      </w:r>
      <w:r>
        <w:rPr>
          <w:u w:val="single"/>
        </w:rPr>
        <w:t xml:space="preserve">30</w:t>
      </w:r>
      <w:r>
        <w:rPr/>
        <w:t xml:space="preserve">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t xml:space="preserve">(5) For each original issue or renewal of a probationary license under this section, the department shall charge a fee of </w:t>
      </w:r>
      <w:r>
        <w:t>((</w:t>
      </w:r>
      <w:r>
        <w:rPr>
          <w:strike/>
        </w:rPr>
        <w:t xml:space="preserve">fifty dollars</w:t>
      </w:r>
      <w:r>
        <w:t>))</w:t>
      </w:r>
      <w:r>
        <w:rPr/>
        <w:t xml:space="preserve"> </w:t>
      </w:r>
      <w:r>
        <w:rPr>
          <w:u w:val="single"/>
        </w:rPr>
        <w:t xml:space="preserve">$50</w:t>
      </w:r>
      <w:r>
        <w:rPr/>
        <w:t xml:space="preserve"> in addition to any other licensing fees required. Except for when renewing a probationary license, the department shall waive the requirement to obtain an additional probationary license and the </w:t>
      </w:r>
      <w:r>
        <w:t>((</w:t>
      </w:r>
      <w:r>
        <w:rPr>
          <w:strike/>
        </w:rPr>
        <w:t xml:space="preserve">fifty dollar</w:t>
      </w:r>
      <w:r>
        <w:t>))</w:t>
      </w:r>
      <w:r>
        <w:rPr/>
        <w:t xml:space="preserve"> </w:t>
      </w:r>
      <w:r>
        <w:rPr>
          <w:u w:val="single"/>
        </w:rPr>
        <w:t xml:space="preserve">$50</w:t>
      </w:r>
      <w:r>
        <w:rPr/>
        <w:t xml:space="preserve"> fee if the person has a probationary license in his or her possession at the time a new probationary license is required.</w:t>
      </w:r>
    </w:p>
    <w:p>
      <w:pPr>
        <w:spacing w:before="0" w:after="0" w:line="408" w:lineRule="exact"/>
        <w:ind w:left="0" w:right="0" w:firstLine="576"/>
        <w:jc w:val="left"/>
      </w:pPr>
      <w:r>
        <w:rPr/>
        <w:t xml:space="preserve">(6)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2020 c 330 s 9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w:t>
      </w:r>
      <w:r>
        <w:rPr>
          <w:u w:val="single"/>
        </w:rPr>
        <w:t xml:space="preserve">or has had his or her license suspended, revoked, or denied under RCW 46.61.5055(11)(c)(i),</w:t>
      </w:r>
      <w:r>
        <w:rPr/>
        <w:t xml:space="preserve">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twenty-one dollars per month. Payments shall be made directly to the ignition interlock company. The company shall remit the additional fee to the department,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twenty-one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2020 c 330 s 10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mandatory suspension, revocation, or denial of driving privileges, or upon fulfillment of day-for-day credit under RCW 46.61.5055(9)(b)(ii) for a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alcohol set point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Alcohol set point.</w:t>
      </w:r>
      <w:r>
        <w:rPr/>
        <w:t xml:space="preserve"> Unless otherwise specified by the court for a restriction imposed under subsection (1)(e) of this section, the ignition interlock device shall have an alcohol set point that prevents the motor vehicle from being started when the breath sample provided has an alcohol concentration of 0.020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shall be extended for an additional period as required by RCW 46.61.5055(6)(a).</w:t>
      </w:r>
    </w:p>
    <w:p>
      <w:pPr>
        <w:spacing w:before="0" w:after="0" w:line="408" w:lineRule="exact"/>
        <w:ind w:left="0" w:right="0" w:firstLine="576"/>
        <w:jc w:val="left"/>
      </w:pPr>
      <w:r>
        <w:rPr>
          <w:u w:val="single"/>
        </w:rPr>
        <w:t xml:space="preserve">For purposes of determining a period of restriction for a person restricted pursuant to a conviction under (d) of this subsection, a restriction based on a deferred prosecution under subsection (1)(c) of this section arising out of the same incident is not considered a prior restriction for purposes of this subsection.</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The period of restriction under (c) or (d) of this subsection shall be extended by </w:t>
      </w:r>
      <w:r>
        <w:t>((</w:t>
      </w:r>
      <w:r>
        <w:rPr>
          <w:strike/>
        </w:rPr>
        <w:t xml:space="preserve">one hundred eighty</w:t>
      </w:r>
      <w:r>
        <w:t>))</w:t>
      </w:r>
      <w:r>
        <w:rPr/>
        <w:t xml:space="preserve"> </w:t>
      </w:r>
      <w:r>
        <w:rPr>
          <w:u w:val="single"/>
        </w:rPr>
        <w:t xml:space="preserve">180</w:t>
      </w:r>
      <w:r>
        <w:rPr/>
        <w:t xml:space="preserve"> days whenever the department receives notice that the restricted person has been convicted under RCW 46.20.740 or 46.20.750. If the period of restriction under (c) or (d) of this subsection has been fulfilled and cannot be extended, the department must add a new </w:t>
      </w:r>
      <w:r>
        <w:t>((</w:t>
      </w:r>
      <w:r>
        <w:rPr>
          <w:strike/>
        </w:rPr>
        <w:t xml:space="preserve">one hundred eighty-day</w:t>
      </w:r>
      <w:r>
        <w:t>))</w:t>
      </w:r>
      <w:r>
        <w:rPr/>
        <w:t xml:space="preserve"> </w:t>
      </w:r>
      <w:r>
        <w:rPr>
          <w:u w:val="single"/>
        </w:rPr>
        <w:t xml:space="preserve">180-day</w:t>
      </w:r>
      <w:r>
        <w:rPr/>
        <w:t xml:space="preserve"> restriction that is imposed from the date of conviction and is subject to the requirements for removal under subsection (4) of this section.</w:t>
      </w:r>
    </w:p>
    <w:p>
      <w:pPr>
        <w:spacing w:before="0" w:after="0" w:line="408" w:lineRule="exact"/>
        <w:ind w:left="0" w:right="0" w:firstLine="576"/>
        <w:jc w:val="left"/>
      </w:pPr>
      <w:r>
        <w:rPr/>
        <w:t xml:space="preserve">(f) Subsection (1)(e) of this section shall remain in effect for the period of time specified by the court.</w:t>
      </w:r>
    </w:p>
    <w:p>
      <w:pPr>
        <w:spacing w:before="0" w:after="0" w:line="408" w:lineRule="exact"/>
        <w:ind w:left="0" w:right="0" w:firstLine="576"/>
        <w:jc w:val="left"/>
      </w:pPr>
      <w:r>
        <w:rPr/>
        <w:t xml:space="preserve">(g)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w:t>
      </w:r>
      <w:r>
        <w:rPr>
          <w:u w:val="single"/>
        </w:rPr>
        <w:t xml:space="preserve">For all drivers restricted under this section with incidents and restriction start dates prior to June 9, 2016, a driver may apply to waive the restriction by applying for a determination from the department that the person is unable to operate an ignition interlock device due to a physical disability.</w:t>
      </w:r>
      <w:r>
        <w:rPr/>
        <w:t xml:space="preserve">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the following:</w:t>
      </w:r>
    </w:p>
    <w:p>
      <w:pPr>
        <w:spacing w:before="0" w:after="0" w:line="408" w:lineRule="exact"/>
        <w:ind w:left="0" w:right="0" w:firstLine="576"/>
        <w:jc w:val="left"/>
      </w:pPr>
      <w:r>
        <w:rPr/>
        <w:t xml:space="preserve">(a) That there have been none of the following incidents in the </w:t>
      </w:r>
      <w:r>
        <w:t>((</w:t>
      </w:r>
      <w:r>
        <w:rPr>
          <w:strike/>
        </w:rPr>
        <w:t xml:space="preserve">one hundred eighty</w:t>
      </w:r>
      <w:r>
        <w:t>))</w:t>
      </w:r>
      <w:r>
        <w:rPr/>
        <w:t xml:space="preserve"> </w:t>
      </w:r>
      <w:r>
        <w:rPr>
          <w:u w:val="single"/>
        </w:rPr>
        <w:t xml:space="preserve">180</w:t>
      </w:r>
      <w:r>
        <w:rPr/>
        <w:t xml:space="preserve"> consecutive days prior to the date of release:</w:t>
      </w:r>
    </w:p>
    <w:p>
      <w:pPr>
        <w:spacing w:before="0" w:after="0" w:line="408" w:lineRule="exact"/>
        <w:ind w:left="0" w:right="0" w:firstLine="576"/>
        <w:jc w:val="left"/>
      </w:pPr>
      <w:r>
        <w:rPr/>
        <w:t xml:space="preserve">(i) Any attempt to start the vehicle with a breath alcohol concentration of 0.04 or more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0.04 and the digital image confirms the same person provided both samples;</w:t>
      </w:r>
    </w:p>
    <w:p>
      <w:pPr>
        <w:spacing w:before="0" w:after="0" w:line="408" w:lineRule="exact"/>
        <w:ind w:left="0" w:right="0" w:firstLine="576"/>
        <w:jc w:val="left"/>
      </w:pPr>
      <w:r>
        <w:rPr/>
        <w:t xml:space="preserve">(ii)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(iii) Failure to pass any random retest with a breath alcohol concentration of lower than 0.020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0.020, and the digital image confirms the same person provided both samples;</w:t>
      </w:r>
    </w:p>
    <w:p>
      <w:pPr>
        <w:spacing w:before="0" w:after="0" w:line="408" w:lineRule="exact"/>
        <w:ind w:left="0" w:right="0" w:firstLine="576"/>
        <w:jc w:val="left"/>
      </w:pPr>
      <w:r>
        <w:rPr/>
        <w:t xml:space="preserve">(iv) Failure of the person to appear at the ignition interlock device vendor when required for maintenance, repair, calibration, monitoring, inspection, or replacement of the device; or</w:t>
      </w:r>
    </w:p>
    <w:p>
      <w:pPr>
        <w:spacing w:before="0" w:after="0" w:line="408" w:lineRule="exact"/>
        <w:ind w:left="0" w:right="0" w:firstLine="576"/>
        <w:jc w:val="left"/>
      </w:pPr>
      <w:r>
        <w:rPr/>
        <w:t xml:space="preserve">(v) Removal of the ignition interlock device by a person other than an ignition interlock technician certified by the Washington state patrol; and</w:t>
      </w:r>
    </w:p>
    <w:p>
      <w:pPr>
        <w:spacing w:before="0" w:after="0" w:line="408" w:lineRule="exact"/>
        <w:ind w:left="0" w:right="0" w:firstLine="576"/>
        <w:jc w:val="left"/>
      </w:pPr>
      <w:r>
        <w:rPr/>
        <w:t xml:space="preserve">(b) That the ignition interlock device was inspected at the conclusion of the </w:t>
      </w:r>
      <w:r>
        <w:t>((</w:t>
      </w:r>
      <w:r>
        <w:rPr>
          <w:strike/>
        </w:rPr>
        <w:t xml:space="preserve">one hundred eighty-day</w:t>
      </w:r>
      <w:r>
        <w:t>))</w:t>
      </w:r>
      <w:r>
        <w:rPr/>
        <w:t xml:space="preserve"> </w:t>
      </w:r>
      <w:r>
        <w:rPr>
          <w:u w:val="single"/>
        </w:rPr>
        <w:t xml:space="preserve">180-day</w:t>
      </w:r>
      <w:r>
        <w:rPr/>
        <w:t xml:space="preserve"> period by an ignition interlock technician certified by the Washington state patrol and no evidence was found that the device was tampered with in the manner described in RCW 46.20.750.</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(c) The employer exemption does not apply to a person who is self-employed unless the person's vehicle is used exclusively for the person's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w:t>
      </w:r>
      <w:r>
        <w:t>((</w:t>
      </w:r>
      <w:r>
        <w:rPr>
          <w:strike/>
        </w:rPr>
        <w:t xml:space="preserve">twenty-one dollars</w:t>
      </w:r>
      <w:r>
        <w:t>))</w:t>
      </w:r>
      <w:r>
        <w:rPr/>
        <w:t xml:space="preserve"> </w:t>
      </w:r>
      <w:r>
        <w:rPr>
          <w:u w:val="single"/>
        </w:rPr>
        <w:t xml:space="preserve">$21</w:t>
      </w:r>
      <w:r>
        <w:rPr/>
        <w:t xml:space="preserve"> per month. Payments must be made directly to the ignition interlock company. The company shall remit the additional fee to the department to be deposited into the ignition interlock device revolving account,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one or more requirements for removal under subsection (4) of this section if compliance with the requirement or requirements would be impractical in the case of a person residing in another jurisdiction, provided the person is in compliance with any equivalent requirement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2020 c 330 s 11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Any time a person is convicted under this section, the court shall immediately notify the department for purposes of RCW 46.20.720(3)(e). </w:t>
      </w:r>
      <w:r>
        <w:rPr>
          <w:u w:val="single"/>
        </w:rPr>
        <w:t xml:space="preserve">It is an affirmative defense, which the defendant must prove by a preponderance of the evidence, that the employer exemption in RCW 46.20.720(6) applies.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 days</w:t>
      </w:r>
      <w:r>
        <w:t>))</w:t>
      </w:r>
      <w:r>
        <w:rPr/>
        <w:t xml:space="preserve"> </w:t>
      </w:r>
      <w:r>
        <w:rPr>
          <w:u w:val="single"/>
        </w:rPr>
        <w:t xml:space="preserve">364</w:t>
      </w:r>
      <w:r>
        <w:rPr/>
        <w:t xml:space="preserve">.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w:t>
      </w:r>
      <w:r>
        <w:t>((</w:t>
      </w:r>
      <w:r>
        <w:rPr>
          <w:strike/>
        </w:rPr>
        <w:t xml:space="preserve">For</w:t>
      </w:r>
      <w:r>
        <w:t>))</w:t>
      </w:r>
      <w:r>
        <w:rPr/>
        <w:t xml:space="preserve"> </w:t>
      </w:r>
      <w:r>
        <w:rPr>
          <w:u w:val="single"/>
        </w:rPr>
        <w:t xml:space="preserve">(i) Except as provided in (c)(ii) of this subsection, for</w:t>
      </w:r>
      <w:r>
        <w:rPr/>
        <w:t xml:space="preserve">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 </w:t>
      </w:r>
      <w:r>
        <w:rPr>
          <w:u w:val="single"/>
        </w:rPr>
        <w:t xml:space="preserve">The person may apply for an ignition interlock driver's license under RCW 46.20.385 during the suspension period.</w:t>
      </w:r>
    </w:p>
    <w:p>
      <w:pPr>
        <w:spacing w:before="0" w:after="0" w:line="408" w:lineRule="exact"/>
        <w:ind w:left="0" w:right="0" w:firstLine="576"/>
        <w:jc w:val="left"/>
      </w:pPr>
      <w:r>
        <w:rPr>
          <w:u w:val="single"/>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10</w:t>
      </w:r>
      <w:r>
        <w:rPr/>
        <w:t xml:space="preserve"> years" means that the arrest for a prior offense occurred within </w:t>
      </w:r>
      <w:r>
        <w:t>((</w:t>
      </w:r>
      <w:r>
        <w:rPr>
          <w:strike/>
        </w:rPr>
        <w:t xml:space="preserve">ten</w:t>
      </w:r>
      <w:r>
        <w:t>))</w:t>
      </w:r>
      <w:r>
        <w:rPr/>
        <w:t xml:space="preserve"> </w:t>
      </w:r>
      <w:r>
        <w:rPr>
          <w:u w:val="single"/>
        </w:rPr>
        <w:t xml:space="preserve">10</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e81772e75884c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b38a50dead4aa6" /><Relationship Type="http://schemas.openxmlformats.org/officeDocument/2006/relationships/footer" Target="/word/footer1.xml" Id="R6e81772e75884c46" /></Relationships>
</file>