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bb0fe8222b4924" /></Relationships>
</file>

<file path=word/document.xml><?xml version="1.0" encoding="utf-8"?>
<w:document xmlns:w="http://schemas.openxmlformats.org/wordprocessingml/2006/main">
  <w:body>
    <w:p>
      <w:r>
        <w:t>H-1527.1</w:t>
      </w:r>
    </w:p>
    <w:p>
      <w:pPr>
        <w:jc w:val="center"/>
      </w:pPr>
      <w:r>
        <w:t>_______________________________________________</w:t>
      </w:r>
    </w:p>
    <w:p/>
    <w:p>
      <w:pPr>
        <w:jc w:val="center"/>
      </w:pPr>
      <w:r>
        <w:rPr>
          <w:b/>
        </w:rPr>
        <w:t>SECOND SUBSTITUTE HOUSE BILL 1477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Thai, Street, Doglio, Berry, Chapman, Santos, Ryu, Alvarado, Ramel, Macri, Ormsby, Leavitt, Pollet, and Fey)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the working families' tax credit that clarify program qualification requirements, allow applications to be submitted for up to three years, and require a biennial program report from the department of revenue; amending RCW 82.08.02061; amending 2021 c 195 s 4 (uncodified); reenacting and amending RCW 82.08.0206; creating new sections;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r>
        <w:t>((</w:t>
      </w:r>
      <w:r>
        <w:rPr>
          <w:strike/>
        </w:rPr>
        <w:t xml:space="preserve">:</w:t>
      </w:r>
    </w:p>
    <w:p>
      <w:pPr>
        <w:spacing w:before="0" w:after="0" w:line="408" w:lineRule="exact"/>
        <w:ind w:left="0" w:right="0" w:firstLine="576"/>
        <w:jc w:val="left"/>
      </w:pPr>
      <w:r>
        <w:rPr>
          <w:strike/>
        </w:rPr>
        <w:t xml:space="preserve">(A) Meets</w:t>
      </w:r>
      <w:r>
        <w:t>))</w:t>
      </w:r>
      <w:r>
        <w:rPr/>
        <w:t xml:space="preserve"> </w:t>
      </w:r>
      <w:r>
        <w:rPr>
          <w:u w:val="single"/>
        </w:rPr>
        <w:t xml:space="preserve">meets</w:t>
      </w:r>
      <w:r>
        <w:rPr/>
        <w:t xml:space="preserve"> the requirements provided in (a)(i)(B) of this subsection</w:t>
      </w:r>
      <w:r>
        <w:t>((</w:t>
      </w:r>
      <w:r>
        <w:rPr>
          <w:strike/>
        </w:rPr>
        <w:t xml:space="preserve">;</w:t>
      </w:r>
      <w:r>
        <w:t>))</w:t>
      </w:r>
      <w:r>
        <w:rPr/>
        <w:t xml:space="preserve"> and</w:t>
      </w:r>
    </w:p>
    <w:p>
      <w:pPr>
        <w:spacing w:before="0" w:after="0" w:line="408" w:lineRule="exact"/>
        <w:ind w:left="0" w:right="0" w:firstLine="576"/>
        <w:jc w:val="left"/>
      </w:pPr>
      <w:r>
        <w:t>((</w:t>
      </w:r>
      <w:r>
        <w:rPr>
          <w:strike/>
        </w:rPr>
        <w:t xml:space="preserve">(B) </w:t>
      </w:r>
      <w:r>
        <w:rPr>
          <w:strike/>
        </w:rPr>
        <w:t xml:space="preserve">Would</w:t>
      </w:r>
      <w:r>
        <w:t>))</w:t>
      </w:r>
      <w:r>
        <w:rPr/>
        <w:t xml:space="preserve"> </w:t>
      </w:r>
      <w:r>
        <w:rPr>
          <w:u w:val="single"/>
        </w:rPr>
        <w:t xml:space="preserve">would</w:t>
      </w:r>
      <w:r>
        <w:rPr/>
        <w:t xml:space="preserve"> otherwise qualify for the credit provided in Title 26 U.S.C. Sec. 32 of the internal revenue code except </w:t>
      </w:r>
      <w:r>
        <w:t>((</w:t>
      </w:r>
      <w:r>
        <w:rPr>
          <w:strike/>
        </w:rPr>
        <w:t xml:space="preserve">for the fact</w:t>
      </w:r>
      <w:r>
        <w:t>))</w:t>
      </w:r>
      <w:r>
        <w:rPr/>
        <w:t xml:space="preserve"> that </w:t>
      </w:r>
      <w:r>
        <w:t>((</w:t>
      </w:r>
      <w:r>
        <w:rPr>
          <w:strike/>
        </w:rPr>
        <w:t xml:space="preserve">the</w:t>
      </w:r>
      <w:r>
        <w:t>))</w:t>
      </w:r>
      <w:r>
        <w:rPr/>
        <w:t xml:space="preserve"> </w:t>
      </w:r>
      <w:r>
        <w:rPr>
          <w:u w:val="single"/>
        </w:rPr>
        <w:t xml:space="preserve">one or any combination of the following conditions apply:</w:t>
      </w:r>
    </w:p>
    <w:p>
      <w:pPr>
        <w:spacing w:before="0" w:after="0" w:line="408" w:lineRule="exact"/>
        <w:ind w:left="0" w:right="0" w:firstLine="576"/>
        <w:jc w:val="left"/>
      </w:pPr>
      <w:r>
        <w:rPr>
          <w:u w:val="single"/>
        </w:rPr>
        <w:t xml:space="preserve">(A) The</w:t>
      </w:r>
      <w:r>
        <w:rPr/>
        <w:t xml:space="preserv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r>
        <w:rPr>
          <w:u w:val="single"/>
        </w:rPr>
        <w:t xml:space="preserve">; or</w:t>
      </w:r>
    </w:p>
    <w:p>
      <w:pPr>
        <w:spacing w:before="0" w:after="0" w:line="408" w:lineRule="exact"/>
        <w:ind w:left="0" w:right="0" w:firstLine="576"/>
        <w:jc w:val="left"/>
      </w:pPr>
      <w:r>
        <w:rPr>
          <w:u w:val="single"/>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or equal to one cent,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w:t>
      </w:r>
      <w:r>
        <w:t>((</w:t>
      </w:r>
      <w:r>
        <w:rPr>
          <w:strike/>
        </w:rPr>
        <w:t xml:space="preserve">Application</w:t>
      </w:r>
      <w:r>
        <w:t>))</w:t>
      </w:r>
      <w:r>
        <w:rPr/>
        <w:t xml:space="preserve"> </w:t>
      </w:r>
      <w:r>
        <w:rPr>
          <w:u w:val="single"/>
        </w:rPr>
        <w:t xml:space="preserve">(A) Except as provided in (a)(ii)(B) of this subsection (4), application</w:t>
      </w:r>
      <w:r>
        <w:rPr/>
        <w:t xml:space="preserve"> for </w:t>
      </w:r>
      <w:r>
        <w:t>((</w:t>
      </w:r>
      <w:r>
        <w:rPr>
          <w:strike/>
        </w:rPr>
        <w:t xml:space="preserve">the</w:t>
      </w:r>
      <w:r>
        <w:t>))</w:t>
      </w:r>
      <w:r>
        <w:rPr/>
        <w:t xml:space="preserve"> </w:t>
      </w:r>
      <w:r>
        <w:rPr>
          <w:u w:val="single"/>
        </w:rPr>
        <w:t xml:space="preserve">a</w:t>
      </w:r>
      <w:r>
        <w:rPr/>
        <w:t xml:space="preserv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u w:val="single"/>
        </w:rPr>
        <w:t xml:space="preserve">(B)(I) A person may apply for any refund for which they were eligible but did not claim under (a)(ii)(A)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u w:val="single"/>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rPr>
          <w:u w:val="single"/>
        </w:rPr>
        <w:t xml:space="preserve">(III) For applications for refunds under this subsection (4)(a)(ii)(B), the department must use the federal tax filing for the tax year for which a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w:t>
      </w:r>
      <w:r>
        <w:t>((</w:t>
      </w:r>
      <w:r>
        <w:rPr>
          <w:strike/>
        </w:rPr>
        <w:t xml:space="preserve">the</w:t>
      </w:r>
      <w:r>
        <w:t>))</w:t>
      </w:r>
      <w:r>
        <w:rPr/>
        <w:t xml:space="preserve"> </w:t>
      </w:r>
      <w:r>
        <w:rPr>
          <w:u w:val="single"/>
        </w:rPr>
        <w:t xml:space="preserve">a</w:t>
      </w:r>
      <w:r>
        <w:rPr/>
        <w:t xml:space="preserv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02061</w:t>
      </w:r>
      <w:r>
        <w:rPr/>
        <w:t xml:space="preserve"> and 2014 c 97 s 317 are each amended to read as follows:</w:t>
      </w:r>
    </w:p>
    <w:p>
      <w:pPr>
        <w:spacing w:before="0" w:after="0" w:line="408" w:lineRule="exact"/>
        <w:ind w:left="0" w:right="0" w:firstLine="576"/>
        <w:jc w:val="left"/>
      </w:pPr>
      <w:r>
        <w:rPr>
          <w:u w:val="single"/>
        </w:rPr>
        <w:t xml:space="preserve">(1)</w:t>
      </w:r>
      <w:r>
        <w:rPr/>
        <w:t xml:space="preserve"> The department must assess the implementation of the working families' tax </w:t>
      </w:r>
      <w:r>
        <w:t>((</w:t>
      </w:r>
      <w:r>
        <w:rPr>
          <w:strike/>
        </w:rPr>
        <w:t xml:space="preserve">exemption</w:t>
      </w:r>
      <w:r>
        <w:t>))</w:t>
      </w:r>
      <w:r>
        <w:rPr/>
        <w:t xml:space="preserve"> </w:t>
      </w:r>
      <w:r>
        <w:rPr>
          <w:u w:val="single"/>
        </w:rPr>
        <w:t xml:space="preserve">credit</w:t>
      </w:r>
      <w:r>
        <w:rPr/>
        <w:t xml:space="preserve"> in a report to the legislature to identify administrative or resource issues that require legislative action. The department must submit the report to the finance committee of the house of representatives and the ways and means committee of the senate within </w:t>
      </w:r>
      <w:r>
        <w:t>((</w:t>
      </w:r>
      <w:r>
        <w:rPr>
          <w:strike/>
        </w:rPr>
        <w:t xml:space="preserve">eighteen</w:t>
      </w:r>
      <w:r>
        <w:t>))</w:t>
      </w:r>
      <w:r>
        <w:rPr/>
        <w:t xml:space="preserve"> </w:t>
      </w:r>
      <w:r>
        <w:rPr>
          <w:u w:val="single"/>
        </w:rPr>
        <w:t xml:space="preserve">18</w:t>
      </w:r>
      <w:r>
        <w:rPr/>
        <w:t xml:space="preserve"> months of the implementation of the program. </w:t>
      </w:r>
      <w:r>
        <w:rPr>
          <w:u w:val="single"/>
        </w:rPr>
        <w:t xml:space="preserve">The report must also be made available on the public website of the department.</w:t>
      </w:r>
    </w:p>
    <w:p>
      <w:pPr>
        <w:spacing w:before="0" w:after="0" w:line="408" w:lineRule="exact"/>
        <w:ind w:left="0" w:right="0" w:firstLine="576"/>
        <w:jc w:val="left"/>
      </w:pPr>
      <w:r>
        <w:rPr>
          <w:u w:val="single"/>
        </w:rPr>
        <w:t xml:space="preserve">(2) The department must submit a report to the finance committee of the house of representatives and the ways and means committee of the senate on a biennial basis. The report must include relevant data collected from administration of the working families' tax credit, including demographic data. The report must also be made available on the public website of the department. The first report under this subsection is due December 31, 2025, and every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195 s 4</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195, Laws of 2021 </w:t>
      </w:r>
      <w:r>
        <w:rPr>
          <w:u w:val="single"/>
        </w:rPr>
        <w:t xml:space="preserve">and section 1, chapter . . ., Laws of 2023 (section 1 of this act)</w:t>
      </w:r>
      <w:r>
        <w:rPr/>
        <w:t xml:space="preserve">.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w:t>
      </w:r>
      <w:r>
        <w:t>((</w:t>
      </w:r>
      <w:r>
        <w:rPr>
          <w:strike/>
        </w:rPr>
        <w:t xml:space="preserve">this act shall</w:t>
      </w:r>
      <w:r>
        <w:t>))</w:t>
      </w:r>
      <w:r>
        <w:rPr/>
        <w:t xml:space="preserve"> </w:t>
      </w:r>
      <w:r>
        <w:rPr>
          <w:u w:val="single"/>
        </w:rPr>
        <w:t xml:space="preserve">RCW 82.08.0206</w:t>
      </w:r>
      <w:r>
        <w:rPr/>
        <w:t xml:space="preserve"> expire</w:t>
      </w:r>
      <w:r>
        <w:rPr>
          <w:u w:val="single"/>
        </w:rPr>
        <w:t xml:space="preserve">s</w:t>
      </w:r>
      <w:r>
        <w:rPr/>
        <w:t xml:space="preserve"> at the end of the calendar year two years after the adoption of the final report containing that finding. </w:t>
      </w:r>
      <w:r>
        <w:rPr>
          <w:u w:val="single"/>
        </w:rPr>
        <w:t xml:space="preserve">The joint legislative audit and review committee shall provide written notice of the expiration date of RCW 82.08.0206 to the department of revenue, the chief clerk of the house of representatives, the secretary of the senate, the office of the code reviser, and others as deemed appropriate by the joint legislative audit and review committee.</w:t>
      </w:r>
      <w:r>
        <w:rPr/>
        <w:t xml:space="preserve">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remittance data prepared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75652d043f924d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ec210819664763" /><Relationship Type="http://schemas.openxmlformats.org/officeDocument/2006/relationships/footer" Target="/word/footer1.xml" Id="R75652d043f924da6" /></Relationships>
</file>