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e9669e10442f5" /></Relationships>
</file>

<file path=word/document.xml><?xml version="1.0" encoding="utf-8"?>
<w:document xmlns:w="http://schemas.openxmlformats.org/wordprocessingml/2006/main">
  <w:body>
    <w:p>
      <w:r>
        <w:t>H-0326.1</w:t>
      </w:r>
    </w:p>
    <w:p>
      <w:pPr>
        <w:jc w:val="center"/>
      </w:pPr>
      <w:r>
        <w:t>_______________________________________________</w:t>
      </w:r>
    </w:p>
    <w:p/>
    <w:p>
      <w:pPr>
        <w:jc w:val="center"/>
      </w:pPr>
      <w:r>
        <w:rPr>
          <w:b/>
        </w:rPr>
        <w:t>HOUSE BILL 1275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Thai, Harris, and Riccelli</w:t>
      </w:r>
    </w:p>
    <w:p/>
    <w:p>
      <w:r>
        <w:rPr>
          <w:t xml:space="preserve">Read first time 01/12/23.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athletic trainers; and amending RCW 18.250.010 and 18.250.110.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2020 c 80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w:t>
      </w:r>
      <w:r>
        <w:rPr>
          <w:u w:val="single"/>
        </w:rPr>
        <w:t xml:space="preserve">activities,</w:t>
      </w:r>
      <w:r>
        <w:rPr/>
        <w:t xml:space="preserve"> sport, or games requiring physical strength, range</w:t>
      </w:r>
      <w:r>
        <w:rPr/>
        <w:noBreakHyphen/>
      </w:r>
      <w:r>
        <w:rPr/>
        <w:t xml:space="preserve">of</w:t>
      </w:r>
      <w:r>
        <w:rPr/>
        <w:noBreakHyphen/>
      </w:r>
      <w:r>
        <w:rPr/>
        <w:t xml:space="preserve">motion, flexibility, body awareness and control, speed, stamina, or agility, and the exercise, recreation, </w:t>
      </w:r>
      <w:r>
        <w:rPr>
          <w:u w:val="single"/>
        </w:rPr>
        <w:t xml:space="preserve">activities,</w:t>
      </w:r>
      <w:r>
        <w:rPr/>
        <w:t xml:space="preserve"> sports, or games are of a type conducted </w:t>
      </w:r>
      <w:r>
        <w:rPr>
          <w:u w:val="single"/>
        </w:rPr>
        <w:t xml:space="preserve">for the benefits of health and wellness or</w:t>
      </w:r>
      <w:r>
        <w:rPr/>
        <w:t xml:space="preserve"> in association with an educational institution or professional, amateur, or recreational sports club or organization.</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w:t>
      </w:r>
      <w:r>
        <w:rPr>
          <w:u w:val="single"/>
        </w:rPr>
        <w:t xml:space="preserve">activities,</w:t>
      </w:r>
      <w:r>
        <w:rPr/>
        <w:t xml:space="preserve">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w:t>
      </w:r>
      <w:r>
        <w:t>((</w:t>
      </w:r>
      <w:r>
        <w:rPr>
          <w:strike/>
        </w:rPr>
        <w:t xml:space="preserve">person</w:t>
      </w:r>
      <w:r>
        <w:t>))</w:t>
      </w:r>
      <w:r>
        <w:rPr/>
        <w:t xml:space="preserve"> </w:t>
      </w:r>
      <w:r>
        <w:rPr>
          <w:u w:val="single"/>
        </w:rPr>
        <w:t xml:space="preserve">health care provider</w:t>
      </w:r>
      <w:r>
        <w:rPr/>
        <w:t xml:space="preserve"> who is licensed under this chapter. An athletic trainer can practice athletic training through the consultation, referral, or guidelines of a licensed health care provider </w:t>
      </w:r>
      <w:r>
        <w:rPr>
          <w:u w:val="single"/>
        </w:rPr>
        <w:t xml:space="preserve">as defined in subsection (7) of this section</w:t>
      </w:r>
      <w:r>
        <w:rPr/>
        <w:t xml:space="preserve">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acupuncture and Eastern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advanced registered nurse practitioner, naturopath, physical therapist, chiropractor, dentist, massage therapist,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110</w:t>
      </w:r>
      <w:r>
        <w:rPr/>
        <w:t xml:space="preserve"> and 2019 c 358 s 3 are each amended to read as follows:</w:t>
      </w:r>
    </w:p>
    <w:p>
      <w:pPr>
        <w:spacing w:before="0" w:after="0" w:line="408" w:lineRule="exact"/>
        <w:ind w:left="0" w:right="0" w:firstLine="576"/>
        <w:jc w:val="left"/>
      </w:pPr>
      <w:r>
        <w:rPr/>
        <w:t xml:space="preserve">(1) An athletic trainer licensed under this chapter may purchase, store, and administer </w:t>
      </w:r>
      <w:r>
        <w:t>((</w:t>
      </w:r>
      <w:r>
        <w:rPr>
          <w:strike/>
        </w:rPr>
        <w:t xml:space="preserve">over-the-counter topical</w:t>
      </w:r>
      <w:r>
        <w:t>))</w:t>
      </w:r>
      <w:r>
        <w:rPr/>
        <w:t xml:space="preserve"> medications </w:t>
      </w:r>
      <w:r>
        <w:t>((</w:t>
      </w:r>
      <w:r>
        <w:rPr>
          <w:strike/>
        </w:rPr>
        <w:t xml:space="preserve">such as hydrocortisone, fluocinonide, topical anesthetics, silver sulfadiazine, lidocaine, magnesium sulfate, zinc oxide, and other similar medications</w:t>
      </w:r>
      <w:r>
        <w:t>))</w:t>
      </w:r>
      <w:r>
        <w:rPr/>
        <w:t xml:space="preserve"> </w:t>
      </w:r>
      <w:r>
        <w:rPr>
          <w:u w:val="single"/>
        </w:rPr>
        <w:t xml:space="preserve">in accordance with the athletic trainer's pharmacological education and training</w:t>
      </w:r>
      <w:r>
        <w:rPr/>
        <w:t xml:space="preserve">, as prescribed by an authorized health care practitioner for the practice of athletic training.</w:t>
      </w:r>
    </w:p>
    <w:p>
      <w:pPr>
        <w:spacing w:before="0" w:after="0" w:line="408" w:lineRule="exact"/>
        <w:ind w:left="0" w:right="0" w:firstLine="576"/>
        <w:jc w:val="left"/>
      </w:pPr>
      <w:r>
        <w:rPr/>
        <w:t xml:space="preserve">(a) An athletic trainer may not administer any medications to a student in a public school as defined in RCW 28A.150.010 or private schools governed by chapter 28A.195 RCW.</w:t>
      </w:r>
    </w:p>
    <w:p>
      <w:pPr>
        <w:spacing w:before="0" w:after="0" w:line="408" w:lineRule="exact"/>
        <w:ind w:left="0" w:right="0" w:firstLine="576"/>
        <w:jc w:val="left"/>
      </w:pPr>
      <w:r>
        <w:rPr/>
        <w:t xml:space="preserve">(b) An athletic trainer may administer medications consistent with this section to a minor in a setting other than a school, if the minor's parent or guardian provides written consent.</w:t>
      </w:r>
    </w:p>
    <w:p>
      <w:pPr>
        <w:spacing w:before="0" w:after="0" w:line="408" w:lineRule="exact"/>
        <w:ind w:left="0" w:right="0" w:firstLine="576"/>
        <w:jc w:val="left"/>
      </w:pPr>
      <w:r>
        <w:rPr/>
        <w:t xml:space="preserve">(2) An athletic trainer licensed under this chapter who has completed an anaphylaxis training program in accordance with RCW 70.54.440 may administer an epinephrine autoinjector to any individual who the athletic trainer believes in good faith is experiencing anaphylaxis as authorized by RCW 70.54.440.</w:t>
      </w:r>
    </w:p>
    <w:p/>
    <w:p>
      <w:pPr>
        <w:jc w:val="center"/>
      </w:pPr>
      <w:r>
        <w:rPr>
          <w:b/>
        </w:rPr>
        <w:t>--- END ---</w:t>
      </w:r>
    </w:p>
    <w:sectPr>
      <w:pgNumType w:start="1"/>
      <w:footerReference xmlns:r="http://schemas.openxmlformats.org/officeDocument/2006/relationships" r:id="R6d9ec8bbafbe49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1c745edee24e95" /><Relationship Type="http://schemas.openxmlformats.org/officeDocument/2006/relationships/footer" Target="/word/footer1.xml" Id="R6d9ec8bbafbe4934" /></Relationships>
</file>