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2cd971c2244f1" /></Relationships>
</file>

<file path=word/document.xml><?xml version="1.0" encoding="utf-8"?>
<w:document xmlns:w="http://schemas.openxmlformats.org/wordprocessingml/2006/main">
  <w:body>
    <w:p>
      <w:r>
        <w:t>H-0042.3</w:t>
      </w:r>
    </w:p>
    <w:p>
      <w:pPr>
        <w:jc w:val="center"/>
      </w:pPr>
      <w:r>
        <w:t>_______________________________________________</w:t>
      </w:r>
    </w:p>
    <w:p/>
    <w:p>
      <w:pPr>
        <w:jc w:val="center"/>
      </w:pPr>
      <w:r>
        <w:rPr>
          <w:b/>
        </w:rPr>
        <w:t>HOUSE BILL 1207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Senn, Rude, Fey, Reed, Bergquist, Ramel, Doglio, Callan, Thai, and Pollet</w:t>
      </w:r>
    </w:p>
    <w:p/>
    <w:p>
      <w:r>
        <w:rPr>
          <w:t xml:space="preserve">Read first time 01/10/23.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responding to harassment, intimidation, bullying, and discrimination in schools by requiring distribution of related policies and complaint procedures, designation of a primary contact for compliance with nondiscrimination laws, and changing a prejudicial student discipline term; amending RCW 28A.300.042 and 28A.600.015; adding a new section to chapter 28A.300 RCW; adding a new section to chapter 28A.642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policies and complaint procedures related to discrimination, including sexual harassment, and information about policies and complaint procedures related to harassment, intimidation, and bullying, as well as the overlap between the policies and complaint procedures. The model student handbook language must be posted publicly on the office of the superintendent of public instruction's website beginning July 1, 2024.</w:t>
      </w:r>
    </w:p>
    <w:p>
      <w:pPr>
        <w:spacing w:before="0" w:after="0" w:line="408" w:lineRule="exact"/>
        <w:ind w:left="0" w:right="0" w:firstLine="576"/>
        <w:jc w:val="left"/>
      </w:pPr>
      <w:r>
        <w:rPr/>
        <w:t xml:space="preserve">(2)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Each school district shall designate one person in the school district as the primary contact regarding school district compliance with this chapter. In addition to any other duties required by law and the school district, the primary contact must:</w:t>
      </w:r>
    </w:p>
    <w:p>
      <w:pPr>
        <w:spacing w:before="0" w:after="0" w:line="408" w:lineRule="exact"/>
        <w:ind w:left="0" w:right="0" w:firstLine="576"/>
        <w:jc w:val="left"/>
      </w:pPr>
      <w:r>
        <w:rPr/>
        <w:t xml:space="preserve">(1) Ensure that complaints of discrimination communicated to the school district are promptly investigated and resolved; and</w:t>
      </w:r>
    </w:p>
    <w:p>
      <w:pPr>
        <w:spacing w:before="0" w:after="0" w:line="408" w:lineRule="exact"/>
        <w:ind w:left="0" w:right="0" w:firstLine="576"/>
        <w:jc w:val="left"/>
      </w:pPr>
      <w:r>
        <w:rPr/>
        <w:t xml:space="preserve">(2) Communicate with the primary contact regarding the school district's policy and procedure prohibiting harassment, intimidation, and bullying under RCW 28A.600.477, and the primary contact regarding the school district's policies and procedures related to transgender students under RCW 28A.642.080.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public schools have the authority to immediately remove a student from school if the student poses an immediate and continuing danger to other students or to school staff, or if the student poses an immediate and continuing threat of material and substantial disruption of the education process. The legislature acknowledges that emergency expulsion is limited to 10 consecutive school days, the school must provide an opportunity for the student to receive educational services during the emergency expulsion, and both the emergency expulsion and any suspension or expulsion that the emergency expulsion is converted to can be appealed. However, the legislature finds that emergency expulsion tarnishes a student's reputation and self-image, which can result in school staff, fellow students, or the student's families making assumptions about the student, and, in some cases, these assumptions result in harassment, intimidation, or bullying of the student. Therefore, the legislature intends to discontinue the use of the prejudicial term "emergency expulsion," and replace it with the term "emergency removal," which is a more accurate description of the temporary removal of a student from school to assess and properly respond to an emergent situation involving the student.</w:t>
      </w:r>
    </w:p>
    <w:p>
      <w:pPr>
        <w:spacing w:before="0" w:after="0" w:line="408" w:lineRule="exact"/>
        <w:ind w:left="0" w:right="0" w:firstLine="576"/>
        <w:jc w:val="left"/>
      </w:pPr>
      <w:r>
        <w:rPr/>
        <w:t xml:space="preserve">(2) As soon as possible after the effective date of this section, the office of the superintendent of public instruction must publish a bulletin to notify school districts and public schools that the term "emergency removal" must be used instead of the term "emergency expulsion" in the context of student discipline and as required by sections 4 and 5 of this act. The legislature's intent as described in subsection (1) of this section must be included in the bulletin. The bulletin must also include guidance about student discipline data collection and historical data comparison.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2016 c 72 s 501 are each amended to read as follows:</w:t>
      </w:r>
    </w:p>
    <w:p>
      <w:pPr>
        <w:spacing w:before="0" w:after="0" w:line="408" w:lineRule="exact"/>
        <w:ind w:left="0" w:right="0" w:firstLine="576"/>
        <w:jc w:val="left"/>
      </w:pPr>
      <w:r>
        <w:rPr/>
        <w:t xml:space="preserve">(1) 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(b) Further disaggregation of countries of origin for Asian students;</w:t>
      </w:r>
    </w:p>
    <w:p>
      <w:pPr>
        <w:spacing w:before="0" w:after="0" w:line="408" w:lineRule="exact"/>
        <w:ind w:left="0" w:right="0" w:firstLine="576"/>
        <w:jc w:val="left"/>
      </w:pPr>
      <w:r>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(d) For students who report as multiracial, collection of their racial and ethnic combination of categories.</w:t>
      </w:r>
    </w:p>
    <w:p>
      <w:pPr>
        <w:spacing w:before="0" w:after="0" w:line="408" w:lineRule="exact"/>
        <w:ind w:left="0" w:right="0" w:firstLine="576"/>
        <w:jc w:val="left"/>
      </w:pPr>
      <w:r>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w:t>
      </w:r>
      <w:r>
        <w:t>((</w:t>
      </w:r>
      <w:r>
        <w:rPr>
          <w:strike/>
        </w:rPr>
        <w:t xml:space="preserve">expulsion</w:t>
      </w:r>
      <w:r>
        <w:t>))</w:t>
      </w:r>
      <w:r>
        <w:rPr/>
        <w:t xml:space="preserve"> </w:t>
      </w:r>
      <w:r>
        <w:rPr>
          <w:u w:val="single"/>
        </w:rPr>
        <w:t xml:space="preserve">removal</w:t>
      </w:r>
      <w:r>
        <w:rPr/>
        <w:t xml:space="preserve">;</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2016 c 72 s 105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w:t>
      </w:r>
      <w:r>
        <w:t>((</w:t>
      </w:r>
      <w:r>
        <w:rPr>
          <w:strike/>
        </w:rPr>
        <w:t xml:space="preserve">ten</w:t>
      </w:r>
      <w:r>
        <w:t>))</w:t>
      </w:r>
      <w:r>
        <w:rPr/>
        <w:t xml:space="preserve"> </w:t>
      </w:r>
      <w:r>
        <w:rPr>
          <w:u w:val="single"/>
        </w:rPr>
        <w:t xml:space="preserve">10</w:t>
      </w:r>
      <w:r>
        <w:rPr/>
        <w:t xml:space="preserve">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w:t>
      </w:r>
      <w:r>
        <w:t>((</w:t>
      </w:r>
      <w:r>
        <w:rPr>
          <w:strike/>
        </w:rPr>
        <w:t xml:space="preserve">ten</w:t>
      </w:r>
      <w:r>
        <w:t>))</w:t>
      </w:r>
      <w:r>
        <w:rPr/>
        <w:t xml:space="preserve"> </w:t>
      </w:r>
      <w:r>
        <w:rPr>
          <w:u w:val="single"/>
        </w:rPr>
        <w:t xml:space="preserve">10</w:t>
      </w:r>
      <w:r>
        <w:rPr/>
        <w:t xml:space="preserve"> consecutive school days.</w:t>
      </w:r>
    </w:p>
    <w:p>
      <w:pPr>
        <w:spacing w:before="0" w:after="0" w:line="408" w:lineRule="exact"/>
        <w:ind w:left="0" w:right="0" w:firstLine="576"/>
        <w:jc w:val="left"/>
      </w:pPr>
      <w:r>
        <w:rPr/>
        <w:t xml:space="preserve">(3) Emergency </w:t>
      </w:r>
      <w:r>
        <w:t>((</w:t>
      </w:r>
      <w:r>
        <w:rPr>
          <w:strike/>
        </w:rPr>
        <w:t xml:space="preserve">expulsions</w:t>
      </w:r>
      <w:r>
        <w:t>))</w:t>
      </w:r>
      <w:r>
        <w:rPr/>
        <w:t xml:space="preserve"> </w:t>
      </w:r>
      <w:r>
        <w:rPr>
          <w:u w:val="single"/>
        </w:rPr>
        <w:t xml:space="preserve">removals</w:t>
      </w:r>
      <w:r>
        <w:rPr/>
        <w:t xml:space="preserve"> must end or be converted to another form of corrective action within ten school days from the date of the emergency removal from school. Notice and due process rights must be provided when an emergency </w:t>
      </w:r>
      <w:r>
        <w:t>((</w:t>
      </w:r>
      <w:r>
        <w:rPr>
          <w:strike/>
        </w:rPr>
        <w:t xml:space="preserve">expulsion</w:t>
      </w:r>
      <w:r>
        <w:t>))</w:t>
      </w:r>
      <w:r>
        <w:rPr/>
        <w:t xml:space="preserve"> </w:t>
      </w:r>
      <w:r>
        <w:rPr>
          <w:u w:val="single"/>
        </w:rPr>
        <w:t xml:space="preserve">removal</w:t>
      </w:r>
      <w:r>
        <w:rPr/>
        <w:t xml:space="preserve"> is converted to another form of corrective action.</w:t>
      </w:r>
    </w:p>
    <w:p>
      <w:pPr>
        <w:spacing w:before="0" w:after="0" w:line="408" w:lineRule="exact"/>
        <w:ind w:left="0" w:right="0" w:firstLine="576"/>
        <w:jc w:val="left"/>
      </w:pPr>
      <w:r>
        <w:rPr/>
        <w:t xml:space="preserve">(4) School districts may not impose long-term suspension or expulsion as a form of discretionary discipline.</w:t>
      </w:r>
    </w:p>
    <w:p>
      <w:pPr>
        <w:spacing w:before="0" w:after="0" w:line="408" w:lineRule="exact"/>
        <w:ind w:left="0" w:right="0" w:firstLine="576"/>
        <w:jc w:val="left"/>
      </w:pPr>
      <w:r>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t xml:space="preserve">(a) A violation of RCW 28A.600.420;</w:t>
      </w:r>
    </w:p>
    <w:p>
      <w:pPr>
        <w:spacing w:before="0" w:after="0" w:line="408" w:lineRule="exact"/>
        <w:ind w:left="0" w:right="0" w:firstLine="576"/>
        <w:jc w:val="left"/>
      </w:pPr>
      <w:r>
        <w:rPr/>
        <w:t xml:space="preserve">(b) An offense in RCW 13.04.155;</w:t>
      </w:r>
    </w:p>
    <w:p>
      <w:pPr>
        <w:spacing w:before="0" w:after="0" w:line="408" w:lineRule="exact"/>
        <w:ind w:left="0" w:right="0" w:firstLine="576"/>
        <w:jc w:val="left"/>
      </w:pPr>
      <w:r>
        <w:rPr/>
        <w:t xml:space="preserve">(c) Two or more violations of RCW 9A.46.120, 9.41.280, 28A.600.455, 28A.635.020, or 28A.635.060 within a three-year period; or</w:t>
      </w:r>
    </w:p>
    <w:p>
      <w:pPr>
        <w:spacing w:before="0" w:after="0" w:line="408" w:lineRule="exact"/>
        <w:ind w:left="0" w:right="0" w:firstLine="576"/>
        <w:jc w:val="left"/>
      </w:pPr>
      <w:r>
        <w:rPr/>
        <w:t xml:space="preserve">(d) Behavior that adversely impacts the health or safety of other students or educational staff.</w:t>
      </w:r>
    </w:p>
    <w:p>
      <w:pPr>
        <w:spacing w:before="0" w:after="0" w:line="408" w:lineRule="exact"/>
        <w:ind w:left="0" w:right="0" w:firstLine="576"/>
        <w:jc w:val="left"/>
      </w:pPr>
      <w:r>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t xml:space="preserve">(9) Nothing in this section creates any civil liability for school districts, or creates a new cause of action or new theory of negligence against a school district board of directors, a school district, or the state.</w:t>
      </w:r>
    </w:p>
    <w:p/>
    <w:p>
      <w:pPr>
        <w:jc w:val="center"/>
      </w:pPr>
      <w:r>
        <w:rPr>
          <w:b/>
        </w:rPr>
        <w:t>--- END ---</w:t>
      </w:r>
    </w:p>
    <w:sectPr>
      <w:pgNumType w:start="1"/>
      <w:footerReference xmlns:r="http://schemas.openxmlformats.org/officeDocument/2006/relationships" r:id="R2305b93f4f434f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ed2d14d5124cd1" /><Relationship Type="http://schemas.openxmlformats.org/officeDocument/2006/relationships/footer" Target="/word/footer1.xml" Id="R2305b93f4f434f1b" /></Relationships>
</file>