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da65f9b194d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Fosse, Reeves, Reed, Berry, Doglio, Wylie, Kloba, Santos, and Ormsby)</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unemployment insurance when an individual voluntarily leaves work; amending RCW 50.20.050 and 50.29.021; adding a new section to chapter 50.04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"Vulnerable adult" has the same meaning as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2022 c 268 s 42 are each amended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w:t>
      </w:r>
      <w:r>
        <w:t>((</w:t>
      </w:r>
      <w:r>
        <w:rPr>
          <w:strike/>
        </w:rPr>
        <w:t xml:space="preserve">of the</w:t>
      </w:r>
      <w:r>
        <w:t>))</w:t>
      </w:r>
      <w:r>
        <w:rPr>
          <w:u w:val="single"/>
        </w:rPr>
        <w:t xml:space="preserve">: Of the</w:t>
      </w:r>
      <w:r>
        <w:rPr/>
        <w:t xml:space="preserve"> illness or disability of the claimant </w:t>
      </w:r>
      <w:r>
        <w:t>((</w:t>
      </w:r>
      <w:r>
        <w:rPr>
          <w:strike/>
        </w:rPr>
        <w:t xml:space="preserve">or</w:t>
      </w:r>
      <w:r>
        <w:t>))</w:t>
      </w:r>
      <w:r>
        <w:rPr>
          <w:u w:val="single"/>
        </w:rPr>
        <w:t xml:space="preserve">; of</w:t>
      </w:r>
      <w:r>
        <w:rPr/>
        <w:t xml:space="preserve"> the death, illness, or disability of a member of the claimant's immediate family </w:t>
      </w:r>
      <w:r>
        <w:t>((</w:t>
      </w:r>
      <w:r>
        <w:rPr>
          <w:strike/>
        </w:rPr>
        <w:t xml:space="preserve">if</w:t>
      </w:r>
      <w:r>
        <w:t>))</w:t>
      </w:r>
      <w:r>
        <w:rPr/>
        <w:t xml:space="preserve"> </w:t>
      </w:r>
      <w:r>
        <w:rPr>
          <w:u w:val="single"/>
        </w:rPr>
        <w:t xml:space="preserve">for separations that occur before September 3, 2023; of the death, illness, or disability of a family member for separations that occur on or after September 3, 2023; or the care for a child or a vulnerable adult in the claimant's care is inaccessible for separations that occur on or after July 7, 2024. However, to qualify based on a circumstance in this subsection (2)(b)(ii), the following requirements must be met</w:t>
      </w:r>
      <w:r>
        <w:rPr/>
        <w:t xml:space="preserve">:</w:t>
      </w:r>
    </w:p>
    <w:p>
      <w:pPr>
        <w:spacing w:before="0" w:after="0" w:line="408" w:lineRule="exact"/>
        <w:ind w:left="0" w:right="0" w:firstLine="576"/>
        <w:jc w:val="left"/>
      </w:pPr>
      <w:r>
        <w:rPr/>
        <w:t xml:space="preserve">(A) The claimant made reasonable efforts to preserve the claimant's employment status by requesting </w:t>
      </w:r>
      <w:r>
        <w:t>((</w:t>
      </w:r>
      <w:r>
        <w:rPr>
          <w:strike/>
        </w:rPr>
        <w:t xml:space="preserve">a leave of absence, by having promptly notified</w:t>
      </w:r>
      <w:r>
        <w:t>))</w:t>
      </w:r>
      <w:r>
        <w:rPr/>
        <w:t xml:space="preserve"> </w:t>
      </w:r>
      <w:r>
        <w:rPr>
          <w:u w:val="single"/>
        </w:rPr>
        <w:t xml:space="preserve">changes in working conditions or work schedule that would accommodate the death, illness, disability, or caregiving inaccessibility, or by requesting a leave of absence, promptly notifying</w:t>
      </w:r>
      <w:r>
        <w:rPr/>
        <w:t xml:space="preserve"> the employer of the reason for the absence, and </w:t>
      </w:r>
      <w:r>
        <w:t>((</w:t>
      </w:r>
      <w:r>
        <w:rPr>
          <w:strike/>
        </w:rPr>
        <w:t xml:space="preserve">by having promptly requested</w:t>
      </w:r>
      <w:r>
        <w:t>))</w:t>
      </w:r>
      <w:r>
        <w:rPr/>
        <w:t xml:space="preserve"> </w:t>
      </w:r>
      <w:r>
        <w:rPr>
          <w:u w:val="single"/>
        </w:rPr>
        <w:t xml:space="preserve">promptly requesting</w:t>
      </w:r>
      <w:r>
        <w:rPr/>
        <w:t xml:space="preserve">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w:t>
      </w:r>
      <w:r>
        <w:t>((</w:t>
      </w:r>
      <w:r>
        <w:rPr>
          <w:strike/>
        </w:rPr>
        <w:t xml:space="preserve">or</w:t>
      </w:r>
      <w:r>
        <w:t>))</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r>
        <w:rPr>
          <w:u w:val="single"/>
        </w:rPr>
        <w:t xml:space="preserve">;</w:t>
      </w:r>
    </w:p>
    <w:p>
      <w:pPr>
        <w:spacing w:before="0" w:after="0" w:line="408" w:lineRule="exact"/>
        <w:ind w:left="0" w:right="0" w:firstLine="576"/>
        <w:jc w:val="left"/>
      </w:pPr>
      <w:r>
        <w:rPr>
          <w:u w:val="single"/>
        </w:rPr>
        <w:t xml:space="preserve">(xiii) For separations that occur on or after July 7, 2024, the claimant:</w:t>
      </w:r>
      <w:r>
        <w:rPr>
          <w:u w:val="single"/>
        </w:rPr>
        <w:t xml:space="preserve"> (A) Left work to relocate in order to follow a minor child who moved outside of the claimant's labor market; (B) remained employed as long as was reasonable prior to relocating; and (C) had parental rights over the minor child at the time of the job separation; or</w:t>
      </w:r>
    </w:p>
    <w:p>
      <w:pPr>
        <w:spacing w:before="0" w:after="0" w:line="408" w:lineRule="exact"/>
        <w:ind w:left="0" w:right="0" w:firstLine="576"/>
        <w:jc w:val="left"/>
      </w:pPr>
      <w:r>
        <w:rPr>
          <w:u w:val="single"/>
        </w:rPr>
        <w:t xml:space="preserve">(xiv) For separations that occur on or after July 7, 2024, the claimant had a regularly scheduled shift or split shift start or end time for the prior 90 calendar days, and the employer, without request by the claimant and not based on a system of seniority, changed the regularly scheduled shift or split shift start or end time by six or more hours for that shift on a nontemporary basis</w:t>
      </w:r>
      <w:r>
        <w:rPr/>
        <w:t xml:space="preserve">.</w:t>
      </w:r>
    </w:p>
    <w:p>
      <w:pPr>
        <w:spacing w:before="0" w:after="0" w:line="408" w:lineRule="exact"/>
        <w:ind w:left="0" w:right="0" w:firstLine="576"/>
        <w:jc w:val="left"/>
      </w:pPr>
      <w:r>
        <w:rPr/>
        <w:t xml:space="preserve">(3) 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t xml:space="preserve">(4)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2021 c 251 s 4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w:t>
      </w:r>
    </w:p>
    <w:p>
      <w:pPr>
        <w:spacing w:before="0" w:after="0" w:line="408" w:lineRule="exact"/>
        <w:ind w:left="0" w:right="0" w:firstLine="576"/>
        <w:jc w:val="left"/>
      </w:pPr>
      <w:r>
        <w:rPr/>
        <w:t xml:space="preserve">(ii) RCW 50.20.050 (1)(b) (v) through (x) or (2)(b) (v) through (x); or</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50.20.050(1)(b) (iv) or (xi), (2)(b) (iv), (xi), </w:t>
      </w:r>
      <w:r>
        <w:t>((</w:t>
      </w:r>
      <w:r>
        <w:rPr>
          <w:strike/>
        </w:rPr>
        <w:t xml:space="preserve">or</w:t>
      </w:r>
      <w:r>
        <w:t>))</w:t>
      </w:r>
      <w:r>
        <w:rPr/>
        <w:t xml:space="preserve"> (xii), </w:t>
      </w:r>
      <w:r>
        <w:rPr>
          <w:u w:val="single"/>
        </w:rPr>
        <w:t xml:space="preserve">or (xiii),</w:t>
      </w:r>
      <w:r>
        <w:rPr/>
        <w:t xml:space="preserve"> or (3), as applicable, shall not be charged to the experience rating account of any contribution paying employer.</w:t>
      </w:r>
    </w:p>
    <w:p>
      <w:pPr>
        <w:spacing w:before="0" w:after="0" w:line="408" w:lineRule="exact"/>
        <w:ind w:left="0" w:right="0" w:firstLine="576"/>
        <w:jc w:val="left"/>
      </w:pPr>
      <w:r>
        <w:rPr/>
        <w:t xml:space="preserve">(f)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(h)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w:t>
      </w:r>
      <w:r>
        <w:t>((</w:t>
      </w:r>
      <w:r>
        <w:rPr>
          <w:strike/>
        </w:rPr>
        <w:t xml:space="preserve">thirty</w:t>
      </w:r>
      <w:r>
        <w:t>))</w:t>
      </w:r>
      <w:r>
        <w:rPr/>
        <w:t xml:space="preserve"> </w:t>
      </w:r>
      <w:r>
        <w:rPr>
          <w:u w:val="single"/>
        </w:rPr>
        <w:t xml:space="preserve">30</w:t>
      </w:r>
      <w:r>
        <w:rPr/>
        <w:t xml:space="preserve">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e26173e8707d4b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7006664c04673" /><Relationship Type="http://schemas.openxmlformats.org/officeDocument/2006/relationships/footer" Target="/word/footer1.xml" Id="Re26173e8707d4b5e" /></Relationships>
</file>