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3cf3462fa4d2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Stokesbary, Fitzgibbon, Leavitt, Simmons, Rude, Bateman, Pollet, Street, Goodman, Robertson, Macri, Donaghy, Bronoske, Paul, Bergquist, Wylie, Kloba, and Ormsby; by request of Select Committee on Pension Policy)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benefit increase to certain retirees of the public employees' retirement system plan 1 and the teachers' retirement system plan 1; amending RCW 41.32.4992, 41.40.1987, 41.45.060, and 41.45.070;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beneficiaries receiving a monthly benefit from the public employees' retirement system plan 1 and the teachers' retirement system plan 1 have experienced a loss of purchasing power due to rising inflation. Certain beneficiaries do not receive annual increases; providing a one-time cost-of-living adjustment helps address beneficiaries' loss of purchasing power. An ongoing cost-of-living adjustment would provide additional protection against further loss of purchasing power, however this policy may not be affordable until required employer contribution rates towards the unfunded accrued actuarial liability are reduced or no longer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2023-2025 fiscal biennium, the select committee on pension policy will study and recommend an ongoing cost-of-living adjustment for beneficiaries of the public employees' retirement system plan 1 and the teachers' retirement system plan 1. Any recommendation must consider employer contribution rate stability and coordinate the effective date of an ongoing cost-of-living adjustment with the reduction or elimination of the unfunded accrued actuarial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2022 c 52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2022 c 52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 </w:t>
      </w:r>
      <w:r>
        <w:rPr>
          <w:u w:val="single"/>
        </w:rPr>
        <w:t xml:space="preserve">The rate for benefit improvements that became effective after June 30, 2009, shall not include a rate for the improvements in this act until July 1, 2027.</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 </w:t>
      </w:r>
      <w:r>
        <w:rPr>
          <w:u w:val="single"/>
        </w:rPr>
        <w:t xml:space="preserve">The rate for benefit improvements that became effective after June 30, 2009, shall not include a rate for the improvements in this act until July 1, 2027.</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 </w:t>
      </w:r>
      <w:r>
        <w:rPr>
          <w:u w:val="single"/>
        </w:rPr>
        <w:t xml:space="preserve">The rate for benefit improvements that became effective after June 30, 2009, shall not include a rate for the improvements in this act until July 1, 2027.</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 Beginning July 1, 2009,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Beginning July 1, 2009,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0" w:after="0" w:line="408" w:lineRule="exact"/>
        <w:ind w:left="0" w:right="0" w:firstLine="576"/>
        <w:jc w:val="left"/>
      </w:pPr>
      <w:r>
        <w:rPr>
          <w:u w:val="single"/>
        </w:rPr>
        <w:t xml:space="preserve">(10) A supplemental rate shall not be charged to pay for the cost of the additional benefits granted to members of the teachers' retirement system and the public employees' retirement system plans 1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f67ca73423624b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2385053ae4cdb" /><Relationship Type="http://schemas.openxmlformats.org/officeDocument/2006/relationships/footer" Target="/word/footer1.xml" Id="Rf67ca73423624b6f" /></Relationships>
</file>