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e0bf46ce4b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6304-S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S5019.1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6304</w:t>
      </w:r>
      <w:r>
        <w:t xml:space="preserve"> -</w:t>
      </w:r>
      <w:r>
        <w:t xml:space="preserve"> </w:t>
        <w:t xml:space="preserve">S AMD TO S AMD (S-4966.2/24)</w:t>
      </w:r>
      <w:r>
        <w:t xml:space="preserve"> </w:t>
      </w:r>
      <w:r>
        <w:rPr>
          <w:b/>
        </w:rPr>
        <w:t xml:space="preserve">655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19, after "vehicle" insert "of model year 2025 or later"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22, after "vehicle" insert "of model year 2025 or later"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light duty trucks and passenger cars subject to part III of the act to those model year 2025 or later.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8abb8f2e4529" /></Relationships>
</file>