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bbbdfc92d847cc" /></Relationships>
</file>

<file path=word/document.xml><?xml version="1.0" encoding="utf-8"?>
<w:document xmlns:w="http://schemas.openxmlformats.org/wordprocessingml/2006/main">
  <w:body>
    <w:p>
      <w:r>
        <w:rPr>
          <w:b/>
        </w:rPr>
        <w:r>
          <w:rPr/>
          <w:t xml:space="preserve">6157-S</w:t>
        </w:r>
      </w:r>
      <w:r>
        <w:rPr>
          <w:b/>
        </w:rPr>
        <w:t xml:space="preserve"> </w:t>
        <w:t xml:space="preserve">AMS</w:t>
      </w:r>
      <w:r>
        <w:rPr>
          <w:b/>
        </w:rPr>
        <w:t xml:space="preserve"> </w:t>
        <w:r>
          <w:rPr/>
          <w:t xml:space="preserve">FORT</w:t>
        </w:r>
      </w:r>
      <w:r>
        <w:rPr>
          <w:b/>
        </w:rPr>
        <w:t xml:space="preserve"> </w:t>
        <w:r>
          <w:rPr/>
          <w:t xml:space="preserve">S4779.2</w:t>
        </w:r>
      </w:r>
      <w:r>
        <w:rPr>
          <w:b/>
        </w:rPr>
        <w:t xml:space="preserve"> - NOT FOR FLOOR USE</w:t>
      </w:r>
    </w:p>
    <w:p>
      <w:pPr>
        <w:ind w:left="0" w:right="0" w:firstLine="576"/>
      </w:pPr>
    </w:p>
    <w:p>
      <w:pPr>
        <w:spacing w:before="480" w:after="0" w:line="408" w:lineRule="exact"/>
      </w:pPr>
      <w:r>
        <w:rPr>
          <w:b/>
          <w:u w:val="single"/>
        </w:rPr>
        <w:t xml:space="preserve">SSB 6157</w:t>
      </w:r>
      <w:r>
        <w:t xml:space="preserve"> -</w:t>
      </w:r>
      <w:r>
        <w:t xml:space="preserve"> </w:t>
        <w:t xml:space="preserve">S AMD</w:t>
      </w:r>
      <w:r>
        <w:t xml:space="preserve"> </w:t>
      </w:r>
      <w:r>
        <w:rPr>
          <w:b/>
        </w:rPr>
        <w:t xml:space="preserve">562</w:t>
      </w:r>
    </w:p>
    <w:p>
      <w:pPr>
        <w:spacing w:before="0" w:after="0" w:line="408" w:lineRule="exact"/>
        <w:ind w:left="0" w:right="0" w:firstLine="576"/>
        <w:jc w:val="left"/>
      </w:pPr>
      <w:r>
        <w:rPr/>
        <w:t xml:space="preserve">By Senator Fortunato</w:t>
      </w:r>
    </w:p>
    <w:p>
      <w:pPr>
        <w:jc w:val="right"/>
      </w:pPr>
      <w:r>
        <w:rPr>
          <w:b/>
        </w:rPr>
        <w:t xml:space="preserve">NOT ADOPTED 02/07/2024</w:t>
      </w:r>
    </w:p>
    <w:p>
      <w:pPr>
        <w:spacing w:before="0" w:after="0" w:line="408" w:lineRule="exact"/>
        <w:ind w:left="0" w:right="0" w:firstLine="576"/>
        <w:jc w:val="left"/>
      </w:pPr>
      <w:r>
        <w:rPr/>
        <w:t xml:space="preserve">On page 9, after line 18,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(1) Because peace officers are required by their agencies to maintain firearm proficiency of a certain level, and the policies for peace officer firearm practice vary significantly between agencies, the criminal justice training commission shall conduct a study of the feasibility, legality, and increased cost of arming deferred action for childhood arrival recipients as police officers. The study shall include, at a minimum:</w:t>
      </w:r>
    </w:p>
    <w:p>
      <w:pPr>
        <w:spacing w:before="0" w:after="0" w:line="408" w:lineRule="exact"/>
        <w:ind w:left="0" w:right="0" w:firstLine="576"/>
        <w:jc w:val="left"/>
      </w:pPr>
      <w:r>
        <w:rPr/>
        <w:t xml:space="preserve">(a) How federal law permits and restricts deferred action for childhood arrival recipients being armed as police officers or officers with the department of corrections, including during off-duty hours;</w:t>
      </w:r>
    </w:p>
    <w:p>
      <w:pPr>
        <w:spacing w:before="0" w:after="0" w:line="408" w:lineRule="exact"/>
        <w:ind w:left="0" w:right="0" w:firstLine="576"/>
        <w:jc w:val="left"/>
      </w:pPr>
      <w:r>
        <w:rPr/>
        <w:t xml:space="preserve">(b) An examination of a broad sample of law enforcement agency and department of corrections policies on firearms, firearm training, and firearm proficiency standards to identify variations in standards and disparate impacts on the training and practice to maintain firearm proficiency of deferred action for childhood arrival status officers, including potential disadvantage due to limited range-time for weapons proficiency and any increased costs associated with adjusting agency policy to incorporate officers with deferred action for childhood arrival status backgrounds, such as costs for additional range safety officers;</w:t>
      </w:r>
    </w:p>
    <w:p>
      <w:pPr>
        <w:spacing w:before="0" w:after="0" w:line="408" w:lineRule="exact"/>
        <w:ind w:left="0" w:right="0" w:firstLine="576"/>
        <w:jc w:val="left"/>
      </w:pPr>
      <w:r>
        <w:rPr/>
        <w:t xml:space="preserve">(c) Any associated risk of loss of federal or state firearm-related licensure for the range owner or operator created by deferred action for childhood arrival status peace officer purchasing ammunition from that owner or operator;</w:t>
      </w:r>
    </w:p>
    <w:p>
      <w:pPr>
        <w:spacing w:before="0" w:after="0" w:line="408" w:lineRule="exact"/>
        <w:ind w:left="0" w:right="0" w:firstLine="576"/>
        <w:jc w:val="left"/>
      </w:pPr>
      <w:r>
        <w:rPr/>
        <w:t xml:space="preserve">(d) Whether deferred action for childhood arrival status officers are authorized to participate in sport shooting events to increase firearm proficiency; and</w:t>
      </w:r>
    </w:p>
    <w:p>
      <w:pPr>
        <w:spacing w:before="0" w:after="0" w:line="408" w:lineRule="exact"/>
        <w:ind w:left="0" w:right="0" w:firstLine="576"/>
        <w:jc w:val="left"/>
      </w:pPr>
      <w:r>
        <w:rPr/>
        <w:t xml:space="preserve">(e) Evaluation of how arming deferred action for childhood arrival status recipients as officers will impact the policies, procedures, and budgets of affected agencies, including: (i) Any restrictions to being armed outside of work hours; (ii) whether firearm proficiency training may be scheduled during paid duty hours; and (iii) whether additional range safety officers, supervisors, or other agency employees must be hired or additional materials purchased in order to manage the required firearm proficiency training required by any new policies.</w:t>
      </w:r>
    </w:p>
    <w:p>
      <w:pPr>
        <w:spacing w:before="0" w:after="0" w:line="408" w:lineRule="exact"/>
        <w:ind w:left="0" w:right="0" w:firstLine="576"/>
        <w:jc w:val="left"/>
      </w:pPr>
      <w:r>
        <w:rPr/>
        <w:t xml:space="preserve">(2) The criminal justice training commission shall report its findings to the appropriate committees of the legislature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take effect July 1, 2025."</w:t>
      </w:r>
    </w:p>
    <w:p>
      <w:pPr>
        <w:spacing w:before="480" w:after="0" w:line="408" w:lineRule="exact"/>
      </w:pPr>
      <w:r>
        <w:rPr>
          <w:b/>
          <w:u w:val="single"/>
        </w:rPr>
        <w:t xml:space="preserve">SSB 6157</w:t>
      </w:r>
      <w:r>
        <w:t xml:space="preserve"> -</w:t>
      </w:r>
      <w:r>
        <w:t xml:space="preserve"> </w:t>
        <w:t xml:space="preserve">S AMD</w:t>
      </w:r>
      <w:r>
        <w:t xml:space="preserve"> </w:t>
      </w:r>
      <w:r>
        <w:rPr>
          <w:b/>
        </w:rPr>
        <w:t xml:space="preserve">562</w:t>
      </w:r>
    </w:p>
    <w:p>
      <w:pPr>
        <w:spacing w:before="0" w:after="0" w:line="408" w:lineRule="exact"/>
        <w:ind w:left="0" w:right="0" w:firstLine="576"/>
        <w:jc w:val="left"/>
      </w:pPr>
      <w:r>
        <w:rPr/>
        <w:t xml:space="preserve">By Senator Fortunato</w:t>
      </w:r>
    </w:p>
    <w:p>
      <w:pPr>
        <w:jc w:val="right"/>
      </w:pPr>
      <w:r>
        <w:rPr>
          <w:b/>
        </w:rPr>
        <w:t xml:space="preserve">NOT ADOPTED 02/07/2024</w:t>
      </w:r>
    </w:p>
    <w:p>
      <w:pPr>
        <w:spacing w:before="0" w:after="0" w:line="408" w:lineRule="exact"/>
        <w:ind w:left="0" w:right="0" w:firstLine="576"/>
        <w:jc w:val="left"/>
      </w:pPr>
      <w:r>
        <w:rPr/>
        <w:t xml:space="preserve">On page 1, line 7 of the title, after "RCW;" strike "and"</w:t>
      </w:r>
    </w:p>
    <w:p>
      <w:pPr>
        <w:spacing w:before="0" w:after="0" w:line="408" w:lineRule="exact"/>
        <w:ind w:left="0" w:right="0" w:firstLine="576"/>
        <w:jc w:val="left"/>
      </w:pPr>
      <w:r>
        <w:rPr/>
        <w:t xml:space="preserve">On page 1, line 8 of the title, after "RCW" insert "; creating a new section; and providing an effective date"</w:t>
      </w:r>
    </w:p>
    <w:p>
      <w:pPr>
        <w:spacing w:before="0" w:after="0" w:line="408" w:lineRule="exact"/>
        <w:ind w:left="0" w:right="0" w:firstLine="576"/>
        <w:jc w:val="left"/>
      </w:pPr>
      <w:r>
        <w:rPr>
          <w:u w:val="single"/>
        </w:rPr>
        <w:t xml:space="preserve">EFFECT:</w:t>
      </w:r>
      <w:r>
        <w:rPr/>
        <w:t xml:space="preserve"> Establishes a new effective date of July 1, 2025; requires the Criminal Justice Training Commission to conduct a study of the feasibility, legality, and increased costs of arming DACA recipients as officers and report findings to the legislature by December 31,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82657d07fa4e23" /></Relationships>
</file>