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7a89e20d44be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6072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S5024.1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6072</w:t>
      </w:r>
      <w:r>
        <w:t xml:space="preserve"> -</w:t>
      </w:r>
      <w:r>
        <w:t xml:space="preserve"> </w:t>
        <w:t xml:space="preserve">S AMD TO S AMD (S-4949.4/24)</w:t>
      </w:r>
      <w:r>
        <w:t xml:space="preserve"> </w:t>
      </w:r>
      <w:r>
        <w:rPr>
          <w:b/>
        </w:rPr>
        <w:t xml:space="preserve">672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NOT ADOPTED 02/12/2024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after line 22,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7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50B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Any person may opt out of coverage under this chapter by providing written notice to the employment security department, which shall be effective immediately."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any person to opt out of coverage under the Long-Term Services and Supports Trust Program.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63f7b80034a45" /></Relationships>
</file>