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24c676ec54c8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SHEW</w:t>
        </w:r>
      </w:r>
      <w:r>
        <w:rPr>
          <w:b/>
        </w:rPr>
        <w:t xml:space="preserve"> </w:t>
        <w:r>
          <w:rPr/>
          <w:t xml:space="preserve">S4598.2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5828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Shewmake</w:t>
      </w:r>
    </w:p>
    <w:p>
      <w:pPr>
        <w:jc w:val="right"/>
      </w:pPr>
      <w:r>
        <w:rPr>
          <w:b/>
        </w:rPr>
        <w:t xml:space="preserve">ADOPTED 02/13/2024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"All acts and proceedings of a water commissioner are subject to revision by the superior court as provided in RCW 2.24.050."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4, after "court." insert "</w:t>
      </w:r>
      <w:r>
        <w:rPr>
          <w:u w:val="single"/>
        </w:rPr>
        <w:t xml:space="preserve">The court may order all or any issues in a water adjudication, whether of fact or law, or both, referred to a referee by order of reference. RCW 4.48.010, 4.48.020, 4.48.050, and 4.48.110 do not apply to referees appointed pursuant to this chapter. Challenges to the appointment of a referee must be made pursuant to RCW 90.03.620.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the scope of water commissioner powers, how commissioner decisions may be challenged, and how challenges to appointments may be made.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70a86d5994d53" /></Relationships>
</file>