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a3f2fb43e432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5790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S4189.1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ADOPTED 01/31/2024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6, after "the" strike "2024-25" and insert "2026-27"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"(5) School districts are encouraged to implement the requirements in this section during the 2024-25 and 2025-26 school years.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This section governs school operation and management under RCW 28A.710.040 and 28A.715.020 and applies to charter schools established under chapter 28A.710 RCW and state-tribal education compact schools subject to chapter 28A.715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Delays the bleeding control equipment and training requirements from the 2024-25 school year to the 2026-27 school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Encourages implementation of the requirements during the 2024-25 and 2025-26 school years.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Applies these requirements to charter schools and state-tribal education compact schools.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2e21505024d05" /></Relationships>
</file>