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c2c208711408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5503-S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ROBI</w:t>
        </w:r>
      </w:r>
      <w:r>
        <w:rPr>
          <w:b/>
        </w:rPr>
        <w:t xml:space="preserve"> </w:t>
        <w:r>
          <w:rPr/>
          <w:t xml:space="preserve">S2186.1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5503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194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Robinson</w:t>
      </w:r>
    </w:p>
    <w:p>
      <w:pPr>
        <w:jc w:val="right"/>
      </w:pPr>
      <w:r>
        <w:rPr>
          <w:b/>
        </w:rPr>
        <w:t xml:space="preserve">NOT CONSIDERED 05/17/2023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27, after "(3)" insert "</w:t>
      </w:r>
      <w:r>
        <w:rPr>
          <w:u w:val="single"/>
        </w:rPr>
        <w:t xml:space="preserve">(a) Upon application from a nursing education program, for the purpose of requiring additional clinical training hours for students who need additional hours to reach standard competency, the commission may waive: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The maximum clinical or direct patient care experience hours listed in subsection (2)(b) of this section;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The requirements for counting the number of allowable simulation training hours under WAC 246-840-534.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Any additional training hours required by a nursing education program pursuant to a waiver shall be simulation training hours.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the Commission to waive the maximum training hours and simulation training limitations, upon application from a nursing education program, for students who need additional hours to reach standard competency. Requires any additional training hours by a nursing education program be simulation training hours.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0b32da89c4bb4" /></Relationships>
</file>