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5de8cd6145f4a5d" /></Relationships>
</file>

<file path=word/document.xml><?xml version="1.0" encoding="utf-8"?>
<w:document xmlns:w="http://schemas.openxmlformats.org/wordprocessingml/2006/main">
  <w:body>
    <w:p>
      <w:r>
        <w:rPr>
          <w:b/>
        </w:rPr>
        <w:r>
          <w:rPr/>
          <w:t xml:space="preserve">2320-S2</w:t>
        </w:r>
      </w:r>
      <w:r>
        <w:rPr>
          <w:b/>
        </w:rPr>
        <w:t xml:space="preserve"> </w:t>
        <w:t xml:space="preserve">AMS</w:t>
      </w:r>
      <w:r>
        <w:rPr>
          <w:b/>
        </w:rPr>
        <w:t xml:space="preserve"> </w:t>
        <w:r>
          <w:rPr/>
          <w:t xml:space="preserve">KEIS</w:t>
        </w:r>
      </w:r>
      <w:r>
        <w:rPr>
          <w:b/>
        </w:rPr>
        <w:t xml:space="preserve"> </w:t>
        <w:r>
          <w:rPr/>
          <w:t xml:space="preserve">S5588.1</w:t>
        </w:r>
      </w:r>
      <w:r>
        <w:rPr>
          <w:b/>
        </w:rPr>
        <w:t xml:space="preserve"> - NOT FOR FLOOR USE</w:t>
      </w:r>
    </w:p>
    <w:p>
      <w:pPr>
        <w:ind w:left="0" w:right="0" w:firstLine="576"/>
      </w:pPr>
    </w:p>
    <w:p>
      <w:pPr>
        <w:spacing w:before="480" w:after="0" w:line="408" w:lineRule="exact"/>
      </w:pPr>
      <w:r>
        <w:rPr>
          <w:b/>
          <w:u w:val="single"/>
        </w:rPr>
        <w:t xml:space="preserve">2SHB 2320</w:t>
      </w:r>
      <w:r>
        <w:t xml:space="preserve"> -</w:t>
      </w:r>
      <w:r>
        <w:t xml:space="preserve"> </w:t>
        <w:t xml:space="preserve">S AMD TO LC COMM AMD (S-5137.1/24)</w:t>
      </w:r>
      <w:r>
        <w:t xml:space="preserve"> </w:t>
      </w:r>
      <w:r>
        <w:rPr>
          <w:b/>
        </w:rPr>
        <w:t xml:space="preserve">804</w:t>
      </w:r>
    </w:p>
    <w:p>
      <w:pPr>
        <w:spacing w:before="0" w:after="0" w:line="408" w:lineRule="exact"/>
        <w:ind w:left="0" w:right="0" w:firstLine="576"/>
        <w:jc w:val="left"/>
      </w:pPr>
      <w:r>
        <w:rPr/>
        <w:t xml:space="preserve">By Senator Keiser</w:t>
      </w:r>
    </w:p>
    <w:p>
      <w:pPr>
        <w:jc w:val="right"/>
      </w:pPr>
      <w:r>
        <w:rPr>
          <w:b/>
        </w:rPr>
        <w:t xml:space="preserve">ADOPTED 02/29/2024</w:t>
      </w:r>
    </w:p>
    <w:p>
      <w:pPr>
        <w:spacing w:before="0" w:after="0" w:line="408" w:lineRule="exact"/>
        <w:ind w:left="0" w:right="0" w:firstLine="576"/>
        <w:jc w:val="left"/>
      </w:pPr>
      <w:r>
        <w:rPr/>
        <w:t xml:space="preserve">On page 5, after line 8,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(1) Beginning December 1, 2024, the liquor and cannabis board must collect data on the following information on cannabis products sold within Washington state:</w:t>
      </w:r>
    </w:p>
    <w:p>
      <w:pPr>
        <w:spacing w:before="0" w:after="0" w:line="408" w:lineRule="exact"/>
        <w:ind w:left="0" w:right="0" w:firstLine="576"/>
        <w:jc w:val="left"/>
      </w:pPr>
      <w:r>
        <w:rPr/>
        <w:t xml:space="preserve">(a) The amount of products being sold in the following categories: Usable cannabis, cannabis concentrates, and cannabis-infused products;</w:t>
      </w:r>
    </w:p>
    <w:p>
      <w:pPr>
        <w:spacing w:before="0" w:after="0" w:line="408" w:lineRule="exact"/>
        <w:ind w:left="0" w:right="0" w:firstLine="576"/>
        <w:jc w:val="left"/>
      </w:pPr>
      <w:r>
        <w:rPr/>
        <w:t xml:space="preserve">(b) The average THC concentration in usable cannabis and cannabis concentrates, and the average milligrams of THC per unit in cannabis-infused products; and</w:t>
      </w:r>
    </w:p>
    <w:p>
      <w:pPr>
        <w:spacing w:before="0" w:after="0" w:line="408" w:lineRule="exact"/>
        <w:ind w:left="0" w:right="0" w:firstLine="576"/>
        <w:jc w:val="left"/>
      </w:pPr>
      <w:r>
        <w:rPr/>
        <w:t xml:space="preserve">(c) The range of THC concentration in usable cannabis and cannabis concentrates.</w:t>
      </w:r>
    </w:p>
    <w:p>
      <w:pPr>
        <w:spacing w:before="0" w:after="0" w:line="408" w:lineRule="exact"/>
        <w:ind w:left="0" w:right="0" w:firstLine="576"/>
        <w:jc w:val="left"/>
      </w:pPr>
      <w:r>
        <w:rPr/>
        <w:t xml:space="preserve">(2) By November 14, 2025, the liquor and cannabis board must submit a report to the relevant committees of the legislature on the information collected under subsection (1) of this section.</w:t>
      </w:r>
    </w:p>
    <w:p>
      <w:pPr>
        <w:spacing w:before="0" w:after="0" w:line="408" w:lineRule="exact"/>
        <w:ind w:left="0" w:right="0" w:firstLine="576"/>
        <w:jc w:val="left"/>
      </w:pPr>
      <w:r>
        <w:rPr/>
        <w:t xml:space="preserve">(3) For the purposes of this section, "product" has the meaning provided in RCW 69.50.535.</w:t>
      </w:r>
    </w:p>
    <w:p>
      <w:pPr>
        <w:spacing w:before="0" w:after="0" w:line="408" w:lineRule="exact"/>
        <w:ind w:left="0" w:right="0" w:firstLine="576"/>
        <w:jc w:val="left"/>
      </w:pPr>
      <w:r>
        <w:rPr/>
        <w:t xml:space="preserve">(4) This section expires December 31, 2026."</w:t>
      </w:r>
    </w:p>
    <w:p>
      <w:pPr>
        <w:spacing w:before="0" w:after="0" w:line="408" w:lineRule="exact"/>
        <w:ind w:left="0" w:right="0" w:firstLine="576"/>
        <w:jc w:val="left"/>
      </w:pPr>
      <w:r>
        <w:rPr/>
        <w:t xml:space="preserve">Renumber the remaining section consecutively and correct any internal references accordingly.</w:t>
      </w:r>
    </w:p>
    <w:p>
      <w:pPr>
        <w:spacing w:before="0" w:after="0" w:line="408" w:lineRule="exact"/>
        <w:ind w:left="0" w:right="0" w:firstLine="576"/>
        <w:jc w:val="left"/>
      </w:pPr>
      <w:r>
        <w:rPr/>
        <w:t xml:space="preserve">On page 5, line 16, after "providing" strike "an expiration date" and insert "expiration dates"</w:t>
      </w:r>
    </w:p>
    <w:p>
      <w:pPr>
        <w:spacing w:before="0" w:after="0" w:line="408" w:lineRule="exact"/>
        <w:ind w:left="0" w:right="0" w:firstLine="576"/>
        <w:jc w:val="left"/>
      </w:pPr>
      <w:r>
        <w:rPr>
          <w:u w:val="single"/>
        </w:rPr>
        <w:t xml:space="preserve">EFFECT:</w:t>
      </w:r>
      <w:r>
        <w:rPr/>
        <w:t xml:space="preserve"> Requires the Liquor and Cannabis Board to collect data on sales of cannabis products, including the amount of products sold in each category, the average tetrahydrocannabinol (THC) concentration of products sold in each category, and the range of THC concentration in usable cannabis and cannabis concentrates, with a report due in November 2025.</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6996a0d8284a05" /></Relationships>
</file>