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4e96f37c1476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1715-S2.E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S3380.1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1715</w:t>
      </w:r>
      <w:r>
        <w:t xml:space="preserve"> -</w:t>
      </w:r>
      <w:r>
        <w:t xml:space="preserve"> </w:t>
        <w:t xml:space="preserve">S AMD TO S AMD (S-3377.1/23)</w:t>
      </w:r>
      <w:r>
        <w:t xml:space="preserve"> </w:t>
      </w:r>
      <w:r>
        <w:rPr>
          <w:b/>
        </w:rPr>
        <w:t xml:space="preserve">469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ADOPTED 04/22/2023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20, line 31, after "(2)" strike all material through "</w:t>
      </w:r>
      <w:r>
        <w:rPr>
          <w:u w:val="single"/>
        </w:rPr>
        <w:t xml:space="preserve">(3)</w:t>
      </w:r>
      <w:r>
        <w:rPr/>
        <w:t xml:space="preserve">" on page 21, line 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34, line 31, strike all material through "</w:t>
      </w:r>
      <w:r>
        <w:rPr>
          <w:u w:val="single"/>
        </w:rPr>
        <w:t xml:space="preserve">authorized.</w:t>
      </w:r>
      <w:r>
        <w:rPr/>
        <w:t xml:space="preserve">" on page 35, line 3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authority of courts to issue anticipatory search and seizure warrants.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494fb7b31454b" /></Relationships>
</file>