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fd0af585420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S5438.1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1589</w:t>
      </w:r>
      <w:r>
        <w:t xml:space="preserve"> -</w:t>
      </w:r>
      <w:r>
        <w:t xml:space="preserve"> </w:t>
        <w:t xml:space="preserve">S AMD TO ENET COMM AMD (S-5030.1/24)</w:t>
      </w:r>
      <w:r>
        <w:t xml:space="preserve"> </w:t>
      </w:r>
      <w:r>
        <w:rPr>
          <w:b/>
        </w:rPr>
        <w:t xml:space="preserve">821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line 9, after "for" strike "low-income" and insert "all"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before approving the merger of a large combination utility's electric and gas rate bases, the utilities and transportation commission must find that the proposal includes reasonable rate protections for all customers, rather than only low-income customers.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1688f2f449b4" /></Relationships>
</file>