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a7dae5c304d9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TORR</w:t>
        </w:r>
      </w:r>
      <w:r>
        <w:rPr>
          <w:b/>
        </w:rPr>
        <w:t xml:space="preserve"> </w:t>
        <w:r>
          <w:rPr/>
          <w:t xml:space="preserve">S5414.1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816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Torres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39, strike "transformational"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35, after "</w:t>
      </w:r>
      <w:r>
        <w:rPr>
          <w:u w:val="single"/>
        </w:rPr>
        <w:t xml:space="preserve">filing.</w:t>
      </w:r>
      <w:r>
        <w:rPr/>
        <w:t xml:space="preserve">" insert "</w:t>
      </w:r>
      <w:r>
        <w:rPr>
          <w:u w:val="single"/>
        </w:rPr>
        <w:t xml:space="preserve">Before a large combination utility may discontinue gas service for a current customer, the commission shall ensure that the large combination utility provides adequate notice of the discontinuance of service to any customer who is part of a vulnerable population or for whom English is not their primary language.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utilities and transportation commission to ensure that large combination utilities provide adequate notice of discontinuance of gas service to any customer who is part of a vulnerable population or for whom English is not their primary language.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454b323c4e63" /></Relationships>
</file>