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1f5a354eba495f" /></Relationships>
</file>

<file path=word/document.xml><?xml version="1.0" encoding="utf-8"?>
<w:document xmlns:w="http://schemas.openxmlformats.org/wordprocessingml/2006/main">
  <w:body>
    <w:p>
      <w:r>
        <w:rPr>
          <w:b/>
        </w:rPr>
        <w:r>
          <w:rPr/>
          <w:t xml:space="preserve">1589-S.E</w:t>
        </w:r>
      </w:r>
      <w:r>
        <w:rPr>
          <w:b/>
        </w:rPr>
        <w:t xml:space="preserve"> </w:t>
        <w:t xml:space="preserve">AMS</w:t>
      </w:r>
      <w:r>
        <w:rPr>
          <w:b/>
        </w:rPr>
        <w:t xml:space="preserve"> </w:t>
        <w:r>
          <w:rPr/>
          <w:t xml:space="preserve">MACE</w:t>
        </w:r>
      </w:r>
      <w:r>
        <w:rPr>
          <w:b/>
        </w:rPr>
        <w:t xml:space="preserve"> </w:t>
        <w:r>
          <w:rPr/>
          <w:t xml:space="preserve">S5643.1</w:t>
        </w:r>
      </w:r>
      <w:r>
        <w:rPr>
          <w:b/>
        </w:rPr>
        <w:t xml:space="preserve"> - NOT FOR FLOOR USE</w:t>
      </w:r>
    </w:p>
    <w:p>
      <w:pPr>
        <w:ind w:left="0" w:right="0" w:firstLine="576"/>
      </w:pPr>
    </w:p>
    <w:p>
      <w:pPr>
        <w:spacing w:before="480" w:after="0" w:line="408" w:lineRule="exact"/>
      </w:pPr>
      <w:r>
        <w:rPr>
          <w:b/>
          <w:u w:val="single"/>
        </w:rPr>
        <w:t xml:space="preserve">ESHB 1589</w:t>
      </w:r>
      <w:r>
        <w:t xml:space="preserve"> -</w:t>
      </w:r>
      <w:r>
        <w:t xml:space="preserve"> </w:t>
        <w:t xml:space="preserve">S AMD TO ENET COMM AMD (S-5030.1/24)</w:t>
      </w:r>
      <w:r>
        <w:t xml:space="preserve"> </w:t>
      </w:r>
      <w:r>
        <w:rPr>
          <w:b/>
        </w:rPr>
        <w:t xml:space="preserve">836</w:t>
      </w:r>
    </w:p>
    <w:p>
      <w:pPr>
        <w:spacing w:before="0" w:after="0" w:line="408" w:lineRule="exact"/>
        <w:ind w:left="0" w:right="0" w:firstLine="576"/>
        <w:jc w:val="left"/>
      </w:pPr>
      <w:r>
        <w:rPr/>
        <w:t xml:space="preserve">By Senator MacEwen</w:t>
      </w:r>
    </w:p>
    <w:p>
      <w:pPr>
        <w:jc w:val="right"/>
      </w:pPr>
      <w:r>
        <w:rPr>
          <w:b/>
        </w:rPr>
        <w:t xml:space="preserve">NOT ADOPTED 02/29/2024</w:t>
      </w:r>
    </w:p>
    <w:p>
      <w:pPr>
        <w:spacing w:before="0" w:after="0" w:line="408" w:lineRule="exact"/>
        <w:ind w:left="0" w:right="0" w:firstLine="576"/>
        <w:jc w:val="left"/>
      </w:pPr>
      <w:r>
        <w:rPr/>
        <w:t xml:space="preserve">On page 28,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15</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2017 3rd sp.s. c 10 s 14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2023, and thereafter in the public works assistance account created in RCW 43.155.050.</w:t>
      </w:r>
    </w:p>
    <w:p>
      <w:pPr>
        <w:spacing w:before="0" w:after="0" w:line="408" w:lineRule="exact"/>
        <w:ind w:left="0" w:right="0" w:firstLine="576"/>
        <w:jc w:val="left"/>
      </w:pPr>
      <w:r>
        <w:rPr>
          <w:u w:val="single"/>
        </w:rPr>
        <w:t xml:space="preserve">(4) Beginning July 1, 2025, an additional tax is imposed on any business that is a foreign-owned large combination utility, as the term "large combination utility" is defined in section 2 of this act, equal to the gross income of the business, multiplied by 1.75 percent. Moneys collected under this subsection must be deposited in the general fund and must be expended for a utility rebate program.</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28, line 29, after "80.28.110," strike "and 80.24.010" and insert "80.24.010, and 82.16.020"</w:t>
      </w:r>
    </w:p>
    <w:p>
      <w:pPr>
        <w:spacing w:before="0" w:after="0" w:line="408" w:lineRule="exact"/>
        <w:ind w:left="0" w:right="0" w:firstLine="576"/>
        <w:jc w:val="left"/>
      </w:pPr>
      <w:r>
        <w:rPr>
          <w:u w:val="single"/>
        </w:rPr>
        <w:t xml:space="preserve">EFFECT:</w:t>
      </w:r>
      <w:r>
        <w:rPr/>
        <w:t xml:space="preserve"> Imposes an additional public utility tax equal to 1.75 percent on any foreign-owned large combination utility. Deposits proceeds into the general fund to be spent for a utility rebate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a129e1dcef4ec8" /></Relationships>
</file>