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0501a7a9c6407a" /></Relationships>
</file>

<file path=word/document.xml><?xml version="1.0" encoding="utf-8"?>
<w:document xmlns:w="http://schemas.openxmlformats.org/wordprocessingml/2006/main">
  <w:body>
    <w:p>
      <w:r>
        <w:rPr>
          <w:b/>
        </w:rPr>
        <w:r>
          <w:rPr/>
          <w:t xml:space="preserve">1357-S2.E</w:t>
        </w:r>
      </w:r>
      <w:r>
        <w:rPr>
          <w:b/>
        </w:rPr>
        <w:t xml:space="preserve"> </w:t>
        <w:t xml:space="preserve">AMS</w:t>
      </w:r>
      <w:r>
        <w:rPr>
          <w:b/>
        </w:rPr>
        <w:t xml:space="preserve"> </w:t>
        <w:r>
          <w:rPr/>
          <w:t xml:space="preserve">WM</w:t>
        </w:r>
      </w:r>
      <w:r>
        <w:rPr>
          <w:b/>
        </w:rPr>
        <w:t xml:space="preserve"> </w:t>
        <w:r>
          <w:rPr/>
          <w:t xml:space="preserve">S2941.1</w:t>
        </w:r>
      </w:r>
      <w:r>
        <w:rPr>
          <w:b/>
        </w:rPr>
        <w:t xml:space="preserve"> - NOT FOR FLOOR USE</w:t>
      </w:r>
    </w:p>
    <w:p>
      <w:pPr>
        <w:ind w:left="0" w:right="0" w:firstLine="576"/>
      </w:pPr>
    </w:p>
    <w:p>
      <w:pPr>
        <w:spacing w:before="480" w:after="0" w:line="408" w:lineRule="exact"/>
      </w:pPr>
      <w:r>
        <w:rPr>
          <w:b/>
          <w:u w:val="single"/>
        </w:rPr>
        <w:t xml:space="preserve">E2SHB 1357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carrier's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t xml:space="preserve">(A) The reasons that the carrier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this act.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rPr/>
        <w:t xml:space="preserve">(3) Nothing in this section applies to prior authorization determinations made pursuant to RCW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health plan offered to public employees, retirees, and their covered dependents under this chapter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health plan's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health plan's grievance and appeal process under RCW 48.43.535.</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t xml:space="preserve">(A) The reasons that the health plan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(2) if the authority determines that the health plan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(3) Nothing in this section applies to prior authorization determinations made pursuant to RCW 41.05.526.</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rPr/>
        <w:t xml:space="preserve">(5)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managed care organization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managed care organization's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September 13, 2023, the requirements of (a) of this subsection may not be enforced until January 1, 2026.</w:t>
      </w:r>
    </w:p>
    <w:p>
      <w:pPr>
        <w:spacing w:before="0" w:after="0" w:line="408" w:lineRule="exact"/>
        <w:ind w:left="0" w:right="0" w:firstLine="576"/>
        <w:jc w:val="left"/>
      </w:pPr>
      <w:r>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t xml:space="preserve">(A) The reasons that the managed care organization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(2) if the authority determines that the managed care organization has made a good faith effort to comply with the requirements.</w:t>
      </w:r>
    </w:p>
    <w:p>
      <w:pPr>
        <w:spacing w:before="0" w:after="0" w:line="408" w:lineRule="exact"/>
        <w:ind w:left="0" w:right="0" w:firstLine="576"/>
        <w:jc w:val="left"/>
      </w:pPr>
      <w:r>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(3) Nothing in this section applies to prior authorization determinations made pursuant to RCW 71.24.618 or 74.09.490.</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0161</w:t>
      </w:r>
      <w:r>
        <w:rPr/>
        <w:t xml:space="preserve"> and 2020 c 316 s 1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by</w:t>
      </w:r>
      <w:r>
        <w:t>))</w:t>
      </w:r>
      <w:r>
        <w:rPr/>
        <w:t xml:space="preserve"> </w:t>
      </w:r>
      <w:r>
        <w:rPr>
          <w:u w:val="single"/>
        </w:rPr>
        <w:t xml:space="preserve">By</w:t>
      </w:r>
      <w:r>
        <w:rPr/>
        <w:t xml:space="preserve"> October 1, 2020, and annually thereafter, for individual and group health plans issued by a carrier that has written at least one percent of the total accident and health insurance premiums written by all companies authorized to offer accident and health insurance in Washington in the most recently available year, the carrier shall report to the commissioner the following aggregated and deidentified data related to the carrier's prior authorization practices and experience for the prior plan year:</w:t>
      </w:r>
    </w:p>
    <w:p>
      <w:pPr>
        <w:spacing w:before="0" w:after="0" w:line="408" w:lineRule="exact"/>
        <w:ind w:left="0" w:right="0" w:firstLine="576"/>
        <w:jc w:val="left"/>
      </w:pPr>
      <w:r>
        <w:rPr/>
        <w:t xml:space="preserve">(a) Lists of the </w:t>
      </w:r>
      <w:r>
        <w:t>((</w:t>
      </w:r>
      <w:r>
        <w:rPr>
          <w:strike/>
        </w:rPr>
        <w:t xml:space="preserve">ten</w:t>
      </w:r>
      <w:r>
        <w:t>))</w:t>
      </w:r>
      <w:r>
        <w:rPr/>
        <w:t xml:space="preserve"> </w:t>
      </w:r>
      <w:r>
        <w:rPr>
          <w:u w:val="single"/>
        </w:rPr>
        <w:t xml:space="preserve">10</w:t>
      </w:r>
      <w:r>
        <w:rPr/>
        <w:t xml:space="preserve"> inpatient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(b) Lists of the </w:t>
      </w:r>
      <w:r>
        <w:t>((</w:t>
      </w:r>
      <w:r>
        <w:rPr>
          <w:strike/>
        </w:rPr>
        <w:t xml:space="preserve">ten</w:t>
      </w:r>
      <w:r>
        <w:t>))</w:t>
      </w:r>
      <w:r>
        <w:rPr/>
        <w:t xml:space="preserve"> </w:t>
      </w:r>
      <w:r>
        <w:rPr>
          <w:u w:val="single"/>
        </w:rPr>
        <w:t xml:space="preserve">10</w:t>
      </w:r>
      <w:r>
        <w:rPr/>
        <w:t xml:space="preserve"> outpatient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(c) Lists of the </w:t>
      </w:r>
      <w:r>
        <w:t>((</w:t>
      </w:r>
      <w:r>
        <w:rPr>
          <w:strike/>
        </w:rPr>
        <w:t xml:space="preserve">ten</w:t>
      </w:r>
      <w:r>
        <w:t>))</w:t>
      </w:r>
      <w:r>
        <w:rPr/>
        <w:t xml:space="preserve"> </w:t>
      </w:r>
      <w:r>
        <w:rPr>
          <w:u w:val="single"/>
        </w:rPr>
        <w:t xml:space="preserve">10</w:t>
      </w:r>
      <w:r>
        <w:rPr/>
        <w:t xml:space="preserve"> inpatient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(d) Lists of the </w:t>
      </w:r>
      <w:r>
        <w:t>((</w:t>
      </w:r>
      <w:r>
        <w:rPr>
          <w:strike/>
        </w:rPr>
        <w:t xml:space="preserve">ten</w:t>
      </w:r>
      <w:r>
        <w:t>))</w:t>
      </w:r>
      <w:r>
        <w:rPr/>
        <w:t xml:space="preserve"> </w:t>
      </w:r>
      <w:r>
        <w:rPr>
          <w:u w:val="single"/>
        </w:rPr>
        <w:t xml:space="preserve">10</w:t>
      </w:r>
      <w:r>
        <w:rPr/>
        <w:t xml:space="preserve"> outpatient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w:t>
      </w:r>
    </w:p>
    <w:p>
      <w:pPr>
        <w:spacing w:before="0" w:after="0" w:line="408" w:lineRule="exact"/>
        <w:ind w:left="0" w:right="0" w:firstLine="576"/>
        <w:jc w:val="left"/>
      </w:pPr>
      <w:r>
        <w:rPr/>
        <w:t xml:space="preserve">(e) Lists of the </w:t>
      </w:r>
      <w:r>
        <w:t>((</w:t>
      </w:r>
      <w:r>
        <w:rPr>
          <w:strike/>
        </w:rPr>
        <w:t xml:space="preserve">ten</w:t>
      </w:r>
      <w:r>
        <w:t>))</w:t>
      </w:r>
      <w:r>
        <w:rPr/>
        <w:t xml:space="preserve"> </w:t>
      </w:r>
      <w:r>
        <w:rPr>
          <w:u w:val="single"/>
        </w:rPr>
        <w:t xml:space="preserve">10</w:t>
      </w:r>
      <w:r>
        <w:rPr/>
        <w:t xml:space="preserve"> durable medical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(f) Lists of the </w:t>
      </w:r>
      <w:r>
        <w:t>((</w:t>
      </w:r>
      <w:r>
        <w:rPr>
          <w:strike/>
        </w:rPr>
        <w:t xml:space="preserve">ten</w:t>
      </w:r>
      <w:r>
        <w:t>))</w:t>
      </w:r>
      <w:r>
        <w:rPr/>
        <w:t xml:space="preserve"> </w:t>
      </w:r>
      <w:r>
        <w:rPr>
          <w:u w:val="single"/>
        </w:rPr>
        <w:t xml:space="preserve">10</w:t>
      </w:r>
      <w:r>
        <w:rPr/>
        <w:t xml:space="preserve"> diabetes supplies and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rPr/>
        <w:t xml:space="preserve">(g) </w:t>
      </w:r>
      <w:r>
        <w:rPr>
          <w:u w:val="single"/>
        </w:rPr>
        <w:t xml:space="preserve">Lists of the 10 prescription drugs:</w:t>
      </w:r>
    </w:p>
    <w:p>
      <w:pPr>
        <w:spacing w:before="0" w:after="0" w:line="408" w:lineRule="exact"/>
        <w:ind w:left="0" w:right="0" w:firstLine="576"/>
        <w:jc w:val="left"/>
      </w:pPr>
      <w:r>
        <w:rPr>
          <w:u w:val="single"/>
        </w:rPr>
        <w:t xml:space="preserve">(i) With the highest total number of prior authorization requests during the previous plan year, including the total number of prior authorization requests for each prescription drug and the percent of approved requests for each prescription drug;</w:t>
      </w:r>
    </w:p>
    <w:p>
      <w:pPr>
        <w:spacing w:before="0" w:after="0" w:line="408" w:lineRule="exact"/>
        <w:ind w:left="0" w:right="0" w:firstLine="576"/>
        <w:jc w:val="left"/>
      </w:pPr>
      <w:r>
        <w:rPr>
          <w:u w:val="single"/>
        </w:rPr>
        <w:t xml:space="preserve">(ii) With the highest percentage of approved prior authorization requests during the previous plan year, including the total number of prior authorization requests for each prescription drug and the percent of approved requests for each prescription drug; and</w:t>
      </w:r>
    </w:p>
    <w:p>
      <w:pPr>
        <w:spacing w:before="0" w:after="0" w:line="408" w:lineRule="exact"/>
        <w:ind w:left="0" w:right="0" w:firstLine="576"/>
        <w:jc w:val="left"/>
      </w:pPr>
      <w:r>
        <w:rPr>
          <w:u w:val="single"/>
        </w:rPr>
        <w:t xml:space="preserve">(iii) With the highest percentage of prior authorization requests that were initially denied and then subsequently approved on appeal, including the total number of prior authorization requests for each prescription drug and the percent of requests that were initially denied and then subsequently approved for each prescription drug; and</w:t>
      </w:r>
    </w:p>
    <w:p>
      <w:pPr>
        <w:spacing w:before="0" w:after="0" w:line="408" w:lineRule="exact"/>
        <w:ind w:left="0" w:right="0" w:firstLine="576"/>
        <w:jc w:val="left"/>
      </w:pPr>
      <w:r>
        <w:rPr>
          <w:u w:val="single"/>
        </w:rPr>
        <w:t xml:space="preserve">(h)</w:t>
      </w:r>
      <w:r>
        <w:rPr/>
        <w:t xml:space="preserve"> The average determination response time in hours for prior authorization requests to the carrier with respect to each code reported under (a) through (f) of this subsection for each of the following categories of prior authorization:</w:t>
      </w:r>
    </w:p>
    <w:p>
      <w:pPr>
        <w:spacing w:before="0" w:after="0" w:line="408" w:lineRule="exact"/>
        <w:ind w:left="0" w:right="0" w:firstLine="576"/>
        <w:jc w:val="left"/>
      </w:pPr>
      <w:r>
        <w:rPr/>
        <w:t xml:space="preserve">(i) Expedited decisions;</w:t>
      </w:r>
    </w:p>
    <w:p>
      <w:pPr>
        <w:spacing w:before="0" w:after="0" w:line="408" w:lineRule="exact"/>
        <w:ind w:left="0" w:right="0" w:firstLine="576"/>
        <w:jc w:val="left"/>
      </w:pPr>
      <w:r>
        <w:rPr/>
        <w:t xml:space="preserve">(ii) Standard decisions; and</w:t>
      </w:r>
    </w:p>
    <w:p>
      <w:pPr>
        <w:spacing w:before="0" w:after="0" w:line="408" w:lineRule="exact"/>
        <w:ind w:left="0" w:right="0" w:firstLine="576"/>
        <w:jc w:val="left"/>
      </w:pPr>
      <w:r>
        <w:rPr/>
        <w:t xml:space="preserve">(iii) Extenuating circumstances decisions.</w:t>
      </w:r>
    </w:p>
    <w:p>
      <w:pPr>
        <w:spacing w:before="0" w:after="0" w:line="408" w:lineRule="exact"/>
        <w:ind w:left="0" w:right="0" w:firstLine="576"/>
        <w:jc w:val="left"/>
      </w:pPr>
      <w:r>
        <w:rPr/>
        <w:t xml:space="preserve">(2) </w:t>
      </w:r>
      <w:r>
        <w:t>((</w:t>
      </w:r>
      <w:r>
        <w:rPr>
          <w:strike/>
        </w:rPr>
        <w:t xml:space="preserve">For the October 1, 2020, reporting deadline, a carrier is not required to report data pursuant to subsection (1)(a)(iii), (b)(iii), (c)(iii), (d)(iii), (e)(iii), or (f)(iii) of this section until April 1, 2021, if the commissioner determines that doing so constitutes a hardship.</w:t>
      </w:r>
    </w:p>
    <w:p>
      <w:pPr>
        <w:spacing w:before="0" w:after="0" w:line="408" w:lineRule="exact"/>
        <w:ind w:left="0" w:right="0" w:firstLine="576"/>
        <w:jc w:val="left"/>
      </w:pPr>
      <w:r>
        <w:rPr>
          <w:strike/>
        </w:rPr>
        <w:t xml:space="preserve">(3)</w:t>
      </w:r>
      <w:r>
        <w:t>))</w:t>
      </w:r>
      <w:r>
        <w:rPr/>
        <w:t xml:space="preserve"> By January 1, 2021, and annually thereafter, the commissioner shall aggregate and deidentify the data collected under subsection (1) of this section into a standard report and may not identify the name of the carrier that submitted the data. </w:t>
      </w:r>
      <w:r>
        <w:t>((</w:t>
      </w:r>
      <w:r>
        <w:rPr>
          <w:strike/>
        </w:rPr>
        <w:t xml:space="preserve">The initial report due on January 1, 2021, may omit data for which a hardship determination is made by the commissioner under subsection (2) of this section. Such data must be included in the report due on January 1, 2022.</w:t>
      </w:r>
      <w:r>
        <w:t>))</w:t>
      </w:r>
      <w:r>
        <w:rPr/>
        <w:t xml:space="preserve"> The commissioner must make the report available to interested parties.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commissioner may request additional information from carriers reporting data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1357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On page 1, line 1 of the title, after "process;" strike the remainder of the title and insert "amending RCW 48.43.0161; adding a new section to chapter 48.43 RCW; adding a new section to chapter 41.05 RCW; adding a new section to chapter 74.09 RCW; creating a new section; and providing an effective date."</w:t>
      </w:r>
    </w:p>
    <w:p>
      <w:pPr>
        <w:spacing w:before="0" w:after="0" w:line="408" w:lineRule="exact"/>
        <w:ind w:left="0" w:right="0" w:firstLine="576"/>
        <w:jc w:val="left"/>
      </w:pPr>
      <w:r>
        <w:rPr>
          <w:u w:val="single"/>
        </w:rPr>
        <w:t xml:space="preserve">EFFECT:</w:t>
      </w:r>
      <w:r>
        <w:rPr/>
        <w:t xml:space="preserve"> Separately addresses requirements for the implementation of an application programming interface for prior authorization of health services and prescription drugs.</w:t>
      </w:r>
    </w:p>
    <w:p>
      <w:pPr>
        <w:spacing w:before="0" w:after="0" w:line="408" w:lineRule="exact"/>
        <w:ind w:left="0" w:right="0" w:firstLine="576"/>
        <w:jc w:val="left"/>
      </w:pPr>
      <w:r>
        <w:rPr/>
        <w:t xml:space="preserve">Requires carriers and plans to provide timeframes for submission of additional information on a prior authorization to the provider and enrollee.</w:t>
      </w:r>
    </w:p>
    <w:p>
      <w:pPr>
        <w:spacing w:before="0" w:after="0" w:line="408" w:lineRule="exact"/>
        <w:ind w:left="0" w:right="0" w:firstLine="576"/>
        <w:jc w:val="left"/>
      </w:pPr>
      <w:r>
        <w:rPr/>
        <w:t xml:space="preserve">Requires carriers and plans that cannot meet the API implementation deadline to provide justification to OIC or HCA by September 1, 2024.</w:t>
      </w:r>
    </w:p>
    <w:p>
      <w:pPr>
        <w:spacing w:before="0" w:after="0" w:line="408" w:lineRule="exact"/>
        <w:ind w:left="0" w:right="0" w:firstLine="576"/>
        <w:jc w:val="left"/>
      </w:pPr>
      <w:r>
        <w:rPr/>
        <w:t xml:space="preserve">Requires OIC to regularly update the legislature on the development and implementation of CMS prior authorization rules.</w:t>
      </w:r>
    </w:p>
    <w:p>
      <w:pPr>
        <w:spacing w:before="0" w:after="0" w:line="408" w:lineRule="exact"/>
        <w:ind w:left="0" w:right="0" w:firstLine="576"/>
        <w:jc w:val="left"/>
      </w:pPr>
      <w:r>
        <w:rPr/>
        <w:t xml:space="preserve">Exempts coverage provided under Medicare Parts C and D from the provisions of this act.</w:t>
      </w:r>
    </w:p>
    <w:p>
      <w:pPr>
        <w:spacing w:before="0" w:after="0" w:line="408" w:lineRule="exact"/>
        <w:ind w:left="0" w:right="0" w:firstLine="576"/>
        <w:jc w:val="left"/>
      </w:pPr>
      <w:r>
        <w:rPr/>
        <w:t xml:space="preserve">Exempts the prior authorization process for psychotropic drugs for children under Medicaid from the provisions of this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fc55f706a4aec" /></Relationships>
</file>