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2092c99ce492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1337.E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SHEW</w:t>
        </w:r>
      </w:r>
      <w:r>
        <w:rPr>
          <w:b/>
        </w:rPr>
        <w:t xml:space="preserve"> </w:t>
        <w:r>
          <w:rPr/>
          <w:t xml:space="preserve">S2803.1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1337</w:t>
      </w:r>
      <w:r>
        <w:t xml:space="preserve"> -</w:t>
      </w:r>
      <w:r>
        <w:t xml:space="preserve"> </w:t>
        <w:t xml:space="preserve">S AMD TO LGLT COMM AMD (S-2572.3/23)</w:t>
      </w:r>
      <w:r>
        <w:t xml:space="preserve"> </w:t>
      </w:r>
      <w:r>
        <w:rPr>
          <w:b/>
        </w:rPr>
        <w:t xml:space="preserve">315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Shewmake</w:t>
      </w:r>
    </w:p>
    <w:p>
      <w:pPr>
        <w:jc w:val="right"/>
      </w:pPr>
      <w:r>
        <w:rPr>
          <w:b/>
        </w:rPr>
        <w:t xml:space="preserve">WITHDRAWN 04/06/2023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26, strike all of section 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provision requiring Commerce to revise its recommendations for encouraging accessory dwelling units to include provisions of sections 3 and 4 of this act. Removes the provision requiring Commerce to review comprehensive plans and development regulations for compliance with sections 3 and 4 of this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b9a7ca9fc4f3a" /></Relationships>
</file>