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456bfa9cbb4260" /></Relationships>
</file>

<file path=word/document.xml><?xml version="1.0" encoding="utf-8"?>
<w:document xmlns:w="http://schemas.openxmlformats.org/wordprocessingml/2006/main">
  <w:body>
    <w:p>
      <w:r>
        <w:rPr>
          <w:b/>
        </w:rPr>
        <w:r>
          <w:rPr/>
          <w:t xml:space="preserve">1240-S</w:t>
        </w:r>
      </w:r>
      <w:r>
        <w:rPr>
          <w:b/>
        </w:rPr>
        <w:t xml:space="preserve"> </w:t>
        <w:t xml:space="preserve">AMS</w:t>
      </w:r>
      <w:r>
        <w:rPr>
          <w:b/>
        </w:rPr>
        <w:t xml:space="preserve"> </w:t>
        <w:r>
          <w:rPr/>
          <w:t xml:space="preserve">ENGR</w:t>
        </w:r>
      </w:r>
      <w:r>
        <w:rPr>
          <w:b/>
        </w:rPr>
        <w:t xml:space="preserve"> </w:t>
        <w:r>
          <w:rPr/>
          <w:t xml:space="preserve">S2726.E</w:t>
        </w:r>
      </w:r>
      <w:r>
        <w:rPr>
          <w:b/>
        </w:rPr>
        <w:t xml:space="preserve"> - NOT FOR FLOOR USE</w:t>
      </w:r>
    </w:p>
    <w:p>
      <w:pPr>
        <w:ind w:left="0" w:right="0" w:firstLine="576"/>
      </w:pPr>
    </w:p>
    <w:p>
      <w:pPr>
        <w:spacing w:before="480" w:after="0" w:line="408" w:lineRule="exact"/>
      </w:pPr>
      <w:r>
        <w:rPr>
          <w:b/>
          <w:u w:val="single"/>
        </w:rPr>
        <w:t xml:space="preserve">SHB 1240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AND ENGROSSED 04/08/2023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t>
      </w:r>
      <w:r>
        <w:rPr>
          <w:u w:val="single"/>
        </w:rPr>
        <w:t xml:space="preserve">or assault weapon</w:t>
      </w:r>
      <w:r>
        <w:rPr/>
        <w:t xml:space="preserve"> when departing from, and returning to, Washington state, so long as the individual is returning to Washington in possession of the same large capacity magazine </w:t>
      </w:r>
      <w:r>
        <w:rPr>
          <w:u w:val="single"/>
        </w:rPr>
        <w:t xml:space="preserve">or assault weapon</w:t>
      </w:r>
      <w:r>
        <w:rPr/>
        <w:t xml:space="preserv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any law enforcement agency for use by that agency or its employees for law enforcement purposes, or to a person who does not reside in this state;</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w:t>
      </w:r>
    </w:p>
    <w:p>
      <w:pPr>
        <w:spacing w:before="0" w:after="0" w:line="408" w:lineRule="exact"/>
        <w:ind w:left="0" w:right="0" w:firstLine="576"/>
        <w:jc w:val="left"/>
      </w:pPr>
      <w:r>
        <w:rPr/>
        <w:t xml:space="preserve">(d) The out-of-state sale or transfer of the existing stock of assault weapons owned by a licensed dealer that was acquired prior to January 1, 2023, for the limited period of 90 days after the effective date of this section;</w:t>
      </w:r>
    </w:p>
    <w:p>
      <w:pPr>
        <w:spacing w:before="0" w:after="0" w:line="408" w:lineRule="exact"/>
        <w:ind w:left="0" w:right="0" w:firstLine="576"/>
        <w:jc w:val="left"/>
      </w:pPr>
      <w:r>
        <w:rPr/>
        <w:t xml:space="preserve">(e)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(2)(e) is not "distribution" under this chapter. A person who legally receives an assault weapon under this subsection (2)(e) may not sell or transfer the assault weapon to any other person in this state other than to a licensed dealer, to a federally licensed gunsmith for the purpose of service or repair, or to a law enforcement agency for the purpose of permanently relinquishing the assault weapon; or</w:t>
      </w:r>
    </w:p>
    <w:p>
      <w:pPr>
        <w:spacing w:before="0" w:after="0" w:line="408" w:lineRule="exact"/>
        <w:ind w:left="0" w:right="0" w:firstLine="576"/>
        <w:jc w:val="left"/>
      </w:pPr>
      <w:r>
        <w:rPr/>
        <w:t xml:space="preserve">(f) Any person on active military duty receiving orders to move to Washington state, or military retirees moving to Washington state.</w:t>
      </w:r>
    </w:p>
    <w:p>
      <w:pPr>
        <w:spacing w:before="0" w:after="0" w:line="408" w:lineRule="exact"/>
        <w:ind w:left="0" w:right="0" w:firstLine="576"/>
        <w:jc w:val="left"/>
      </w:pPr>
      <w:r>
        <w:rPr/>
        <w:t xml:space="preserve">(3) For the purposes of this section, "law enforcement agency" means any (a) general authority Washington law enforcement agency as defined in RCW 10.93.020; (b) limited authority Washington law enforcement agency as defined in RCW 10.93.020; or (c) equivalent federal, state, or local law enforcement agency in the United States.</w:t>
      </w:r>
    </w:p>
    <w:p>
      <w:pPr>
        <w:spacing w:before="0" w:after="0" w:line="408" w:lineRule="exact"/>
        <w:ind w:left="0" w:right="0" w:firstLine="576"/>
        <w:jc w:val="left"/>
      </w:pPr>
      <w:r>
        <w:rPr/>
        <w:t xml:space="preserve">(4)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0" w:after="0" w:line="408" w:lineRule="exact"/>
        <w:ind w:left="0" w:right="0" w:firstLine="576"/>
        <w:jc w:val="left"/>
      </w:pPr>
      <w:r>
        <w:rPr/>
        <w:t xml:space="preserve">(3) Any person or entity that receives a civil investigative demand issued pursuant to RCW 19.86.110 and that has an objection to answering in whole or in part may avail themselves of the procedural protections afforded in RCW 19.86.110(8). Further, the attorney general shall not share with a law enforcement agency conducting a criminal investigation any materials or information obtained via a response to a civil investigative demand issued pursuant to RCW 19.86.110 unless such information or materials are required to be disclosed pursuant to issuance of a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1240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04/08/2023</w:t>
      </w:r>
    </w:p>
    <w:p>
      <w:pPr>
        <w:spacing w:before="0" w:after="0" w:line="408" w:lineRule="exact"/>
        <w:ind w:left="0" w:right="0" w:firstLine="576"/>
        <w:jc w:val="left"/>
      </w:pPr>
      <w:r>
        <w:rPr/>
        <w:t xml:space="preserve">On page 1, line 7 of the title, after "inheritors;" strike the remainder of the title and insert "reenacting and amending RCW 9.41.010; adding new sections to chapter 9.41 RCW; creating a new section; prescribing penalties; and declaring an emergency."</w:t>
      </w:r>
    </w:p>
    <w:p>
      <w:pPr>
        <w:spacing w:before="0" w:after="0" w:line="408" w:lineRule="exact"/>
        <w:ind w:left="0" w:right="0" w:firstLine="576"/>
        <w:jc w:val="left"/>
      </w:pPr>
      <w:r>
        <w:rPr>
          <w:u w:val="single"/>
        </w:rPr>
        <w:t xml:space="preserve">EFFECT:</w:t>
      </w:r>
      <w:r>
        <w:rPr/>
        <w:t xml:space="preserve"> Modifies the definition of "import" to exclude situations where an individual possesses an assault weapon when departing and returning to Washington state with the same assault weapon.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fc6d7676a43d9" /></Relationships>
</file>