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1413276b44fb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1187-S.E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TRUD</w:t>
        </w:r>
      </w:r>
      <w:r>
        <w:rPr>
          <w:b/>
        </w:rPr>
        <w:t xml:space="preserve"> </w:t>
        <w:r>
          <w:rPr/>
          <w:t xml:space="preserve">S3170.1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1187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329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Trudeau</w:t>
      </w:r>
    </w:p>
    <w:p>
      <w:pPr>
        <w:jc w:val="right"/>
      </w:pPr>
      <w:r>
        <w:rPr>
          <w:b/>
        </w:rPr>
        <w:t xml:space="preserve">WITHDRAWN 04/07/2023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28, after "(c)" insert "</w:t>
      </w:r>
      <w:r>
        <w:rPr>
          <w:u w:val="single"/>
        </w:rPr>
        <w:t xml:space="preserve">The privilege created in this subsection (11) may not interfere with an employee's or union representative's applicable statutory mandatory reporting requirements, such as under chapters 26.44, 43.101, and 74.34 RCW.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the testimonial privilege may not interfere with an employee's or union representative's statutory mandatory reporting requirements.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2c6a83efd4a2a" /></Relationships>
</file>