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04e54abf48a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1155-S.E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S2999.2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1155</w:t>
      </w:r>
      <w:r>
        <w:t xml:space="preserve"> -</w:t>
      </w:r>
      <w:r>
        <w:t xml:space="preserve"> </w:t>
        <w:t xml:space="preserve">S AMD TO S AMD (S-2826.4/23)</w:t>
      </w:r>
      <w:r>
        <w:t xml:space="preserve"> </w:t>
      </w:r>
      <w:r>
        <w:rPr>
          <w:b/>
        </w:rPr>
        <w:t xml:space="preserve">299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NOT 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15, after "that" strike "identifies" and insert "a regulated entity or a small business processes to identify"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26, after "</w:t>
      </w:r>
      <w:r>
        <w:rPr>
          <w:b/>
        </w:rPr>
        <w:t xml:space="preserve">Sec. 11.</w:t>
      </w:r>
      <w:r>
        <w:rPr/>
        <w:t xml:space="preserve">" strike "The" and insert "(1) For actions brought by the attorney general to enforce this chapter,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after line 33,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"(2) Any consumer injured by a violation of this chapter may bring an action under chapter 19.86 RCW, but must establish all required elements of an action under chapter 19.86 RCW before relief may be granted."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Revises the definition of "consumer health data" to provide that consumer health data is personal information that a regulated entity or a small business processes to identify a consumer's health, rather than personal information that identifies a consumer's health.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Specifies that the legislative declarations that make a violation of the bill a per se violation of the Consumer Protection Act (CPA) apply in enforcement actions brought by the Attorney General.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Provides that any consumer injured by a violation of the bill may bring an action under the CPA, but must establish all required elements of a CPA action before relief may be granted.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361127c354029" /></Relationships>
</file>