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c6d0215a5499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1125-S.E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S3025.1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1125</w:t>
      </w:r>
      <w:r>
        <w:t xml:space="preserve"> -</w:t>
      </w:r>
      <w:r>
        <w:t xml:space="preserve"> </w:t>
        <w:t xml:space="preserve">S AMD TO S AMD (S-2949.1/23)</w:t>
      </w:r>
      <w:r>
        <w:t xml:space="preserve"> </w:t>
      </w:r>
      <w:r>
        <w:rPr>
          <w:b/>
        </w:rPr>
        <w:t xml:space="preserve">295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L. Wilson</w:t>
      </w:r>
    </w:p>
    <w:p>
      <w:pPr>
        <w:jc w:val="right"/>
      </w:pPr>
      <w:r>
        <w:rPr>
          <w:b/>
        </w:rPr>
        <w:t xml:space="preserve">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93, line 33, strike "$33,313,000" and insert "$33,463,000"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93, line 38, strike "$617,142,000" and insert "$617,292,000"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223, line 21, strike "</w:t>
      </w:r>
      <w:r>
        <w:rPr>
          <w:u w:val="single"/>
        </w:rPr>
        <w:t xml:space="preserve">$21,631,000</w:t>
      </w:r>
      <w:r>
        <w:rPr/>
        <w:t xml:space="preserve">" and insert "</w:t>
      </w:r>
      <w:r>
        <w:rPr>
          <w:u w:val="single"/>
        </w:rPr>
        <w:t xml:space="preserve">$21,481,000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223, line 35, strike "</w:t>
      </w:r>
      <w:r>
        <w:rPr>
          <w:u w:val="single"/>
        </w:rPr>
        <w:t xml:space="preserve">$301,192,000</w:t>
      </w:r>
      <w:r>
        <w:rPr/>
        <w:t xml:space="preserve">" and insert "</w:t>
      </w:r>
      <w:r>
        <w:rPr>
          <w:u w:val="single"/>
        </w:rPr>
        <w:t xml:space="preserve">$301,042,000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228, after line 17,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(22) It is the intent of the legislature that $150,000 of the motor vehicle account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be reduced in the 2021-2023 fiscal biennium for the Washougal 32nd Underpass Design &amp; Permitting process (L1000285) and reappropriated to the 2023-2025 fiscal biennium, and the LEAP transportation list referenced in subsection (1) of this section be updated accordingly.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Reappropriates $150,000 of motor vehicle account state funds for the Washougal 32nd Underpass Design &amp; Permitting process project from the 2021-2023 to the 2023-2025 fiscal biennium.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08493a5cd45f1" /></Relationships>
</file>