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f8927aaa2495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S2947.1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</w:t>
      </w:r>
      <w:r>
        <w:rPr>
          <w:u w:val="single"/>
        </w:rPr>
        <w:t xml:space="preserve">choices</w:t>
      </w:r>
      <w:r>
        <w:rPr/>
        <w:t xml:space="preserve">" insert "</w:t>
      </w:r>
      <w:r>
        <w:rPr>
          <w:u w:val="single"/>
        </w:rPr>
        <w:t xml:space="preserve">, and as it is further defined in case law regarding enforcement of the federal voting rights act, 52 U.S.C. 10301 et seq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25, after "difference" strike all material through "</w:t>
      </w:r>
      <w:r>
        <w:rPr>
          <w:strike/>
        </w:rPr>
        <w:t xml:space="preserve">et seq.,</w:t>
      </w:r>
      <w:r>
        <w:t>))</w:t>
      </w:r>
      <w:r>
        <w:rPr/>
        <w:t xml:space="preserve">" and insert ", as defined in case law regarding enforcement of the federal voting rights act, 52 U.S.C. 10301 et seq.,"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Aligns the definitions of "cohesive" and "polarized voting" with case law interpreting the federal Voting Rights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8e00fa634640" /></Relationships>
</file>