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b61f45fc048c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1048-S.E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S2944.1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1048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16, strike all of subsection (5)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9, line 32, strike all of subsection (4)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beginning on line 16, after "</w:t>
      </w:r>
      <w:r>
        <w:rPr>
          <w:u w:val="single"/>
        </w:rPr>
        <w:t xml:space="preserve">action</w:t>
      </w:r>
      <w:r>
        <w:rPr/>
        <w:t xml:space="preserve">." strike all material through "</w:t>
      </w:r>
      <w:r>
        <w:rPr>
          <w:strike/>
        </w:rPr>
        <w:t xml:space="preserve">filed.</w:t>
      </w:r>
      <w:r>
        <w:t>))</w:t>
      </w:r>
      <w:r>
        <w:rPr/>
        <w:t xml:space="preserve">" on line 17 and insert "No fees or costs may be awarded if no action is filed."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beginning on line 18, after "(2)" strike all material through "</w:t>
      </w:r>
      <w:r>
        <w:rPr>
          <w:u w:val="single"/>
        </w:rPr>
        <w:t xml:space="preserve">(3)</w:t>
      </w:r>
      <w:r>
        <w:rPr/>
        <w:t xml:space="preserve">" on line 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Requires that a plaintiff in a lawsuit alleging a violation of the Washington Voting Rights Act (WVRA) prevail in the lawsuit to recover fees or costs incurred in developing the notice of the alleged violation.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Removes provisions allowing claimants of WVRA violations who do not file a lawsuit or plaintiffs who demonstrate that the political subdivision altered its behavior in response to an allegation of a WVRA violation from recovering fees or costs incurred in developing the notice of the alleged violation.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ffa1e79cb41fd" /></Relationships>
</file>