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65c9df38b6460e" /></Relationships>
</file>

<file path=word/document.xml><?xml version="1.0" encoding="utf-8"?>
<w:document xmlns:w="http://schemas.openxmlformats.org/wordprocessingml/2006/main">
  <w:body>
    <w:p>
      <w:r>
        <w:rPr>
          <w:b/>
        </w:rPr>
        <w:r>
          <w:rPr/>
          <w:t xml:space="preserve">6099-S</w:t>
        </w:r>
      </w:r>
      <w:r>
        <w:rPr>
          <w:b/>
        </w:rPr>
        <w:t xml:space="preserve"> </w:t>
        <w:t xml:space="preserve">AMH</w:t>
      </w:r>
      <w:r>
        <w:rPr>
          <w:b/>
        </w:rPr>
        <w:t xml:space="preserve"> </w:t>
        <w:r>
          <w:rPr/>
          <w:t xml:space="preserve">APP</w:t>
        </w:r>
      </w:r>
      <w:r>
        <w:rPr>
          <w:b/>
        </w:rPr>
        <w:t xml:space="preserve"> </w:t>
        <w:r>
          <w:rPr/>
          <w:t xml:space="preserve">H3452.1</w:t>
        </w:r>
      </w:r>
      <w:r>
        <w:rPr>
          <w:b/>
        </w:rPr>
        <w:t xml:space="preserve"> - NOT FOR FLOOR USE</w:t>
      </w:r>
    </w:p>
    <w:p>
      <w:pPr>
        <w:ind w:left="0" w:right="0" w:firstLine="576"/>
      </w:pPr>
    </w:p>
    <w:p>
      <w:pPr>
        <w:spacing w:before="480" w:after="0" w:line="408" w:lineRule="exact"/>
      </w:pPr>
      <w:r>
        <w:rPr>
          <w:b/>
          <w:u w:val="single"/>
        </w:rPr>
        <w:t xml:space="preserve">SSB 6099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American Indians and Alaska Natives are affected disproportionately by the opioid crisis and that opioid overdose rates are higher for American Indians and Alaska Natives than in any other category by race and ethnicity. Therefore, it is the intent of the legislature to prioritize moneys received from opioid settlements to address specific impacts in tribal communities through the creation of a dedicated tribal opioid prevention and treatment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483</w:t>
      </w:r>
      <w:r>
        <w:rPr/>
        <w:t xml:space="preserve"> and 2023 c 435 s 5 are each amended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0" w:after="0" w:line="408" w:lineRule="exact"/>
        <w:ind w:left="0" w:right="0" w:firstLine="576"/>
        <w:jc w:val="left"/>
      </w:pPr>
      <w:r>
        <w:rPr>
          <w:u w:val="single"/>
        </w:rPr>
        <w:t xml:space="preserve">(3) Beginning July 1, 2025, and each fiscal year thereafter through June 30, 2031, the state treasurer shall transfer into the tribal opioid prevention and treatment account created in section 3 of this act from the opioid abatement settlement account an amount equal to the greater of $7,750,000 or 20 percent of the settlement receipts and moneys deposited into the opioid abatement settlement account during the prior fiscal year.</w:t>
      </w:r>
    </w:p>
    <w:p>
      <w:pPr>
        <w:spacing w:before="0" w:after="0" w:line="408" w:lineRule="exact"/>
        <w:ind w:left="0" w:right="0" w:firstLine="576"/>
        <w:jc w:val="left"/>
      </w:pPr>
      <w:r>
        <w:rPr>
          <w:u w:val="single"/>
        </w:rPr>
        <w:t xml:space="preserve">(4) Beginning July 1, 2031, and each fiscal year thereafter, the state treasurer shall transfer into the tribal opioid prevention and treatment account created in section 3 of this act from the opioid abatement settlement account an amount equal to 20 percent of the settlement receipts and moneys deposited into the opioid abatement settlement account during the prior fiscal year.</w:t>
      </w:r>
    </w:p>
    <w:p>
      <w:pPr>
        <w:spacing w:before="0" w:after="0" w:line="408" w:lineRule="exact"/>
        <w:ind w:left="0" w:right="0" w:firstLine="576"/>
        <w:jc w:val="left"/>
      </w:pPr>
      <w:r>
        <w:rPr>
          <w:u w:val="single"/>
        </w:rPr>
        <w:t xml:space="preserve">(5) No transfer shall be required if the average amount of revenue received by the account per fiscal year over the prior two fiscal years is less than $7,750,000.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tribal opioid prevention and treatment account is created in the state treasury. All receipts from the transfer directed in RCW 43.79.483(3) must be deposited in the account. Moneys in the account may be spent only after appropriation. Expenditures from the account may be used for addressing the impact of the opioid epidemic in tribal communities, including: (1) Prevention and recovery services; (2) treatment programs including medication-assisted treatment; (3) peer services; (4) awareness campaigns and education; and (5) support for first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5 of this act, this act takes effect July 1, 2024.</w:t>
      </w:r>
    </w:p>
    <w:p>
      <w:pPr>
        <w:spacing w:before="0" w:after="0" w:line="408" w:lineRule="exact"/>
        <w:ind w:left="0" w:right="0" w:firstLine="576"/>
        <w:jc w:val="left"/>
      </w:pPr>
      <w:r>
        <w:rPr/>
        <w:t xml:space="preserve">(2) Section 5 of this act takes effect July 1, 2028."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Ends the requirement of the annual transfer of a minimum amount of $7.75 million from the Opioid Abatement Settlement Account (Settlement Account) into the Tribal Opioid Account, effective June 30, 2031. Beginning July 1, 2031, the annual transfer amounts into the Tribal Opioid Account must be 20 percent of the moneys deposited into the Settlement Account during the prior fiscal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6822211cc54b67" /></Relationships>
</file>