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98395abb82434b" /></Relationships>
</file>

<file path=word/document.xml><?xml version="1.0" encoding="utf-8"?>
<w:document xmlns:w="http://schemas.openxmlformats.org/wordprocessingml/2006/main">
  <w:body>
    <w:p>
      <w:r>
        <w:rPr>
          <w:b/>
        </w:rPr>
        <w:r>
          <w:rPr/>
          <w:t xml:space="preserve">5805</w:t>
        </w:r>
      </w:r>
      <w:r>
        <w:rPr>
          <w:b/>
        </w:rPr>
        <w:t xml:space="preserve"> </w:t>
        <w:t xml:space="preserve">AMH</w:t>
      </w:r>
      <w:r>
        <w:rPr>
          <w:b/>
        </w:rPr>
        <w:t xml:space="preserve"> </w:t>
        <w:r>
          <w:rPr/>
          <w:t xml:space="preserve">CRJ</w:t>
        </w:r>
      </w:r>
      <w:r>
        <w:rPr>
          <w:b/>
        </w:rPr>
        <w:t xml:space="preserve"> </w:t>
        <w:r>
          <w:rPr/>
          <w:t xml:space="preserve">H3361.1</w:t>
        </w:r>
      </w:r>
      <w:r>
        <w:rPr>
          <w:b/>
        </w:rPr>
        <w:t xml:space="preserve"> - NOT FOR FLOOR USE</w:t>
      </w:r>
    </w:p>
    <w:p>
      <w:pPr>
        <w:ind w:left="0" w:right="0" w:firstLine="576"/>
      </w:pPr>
    </w:p>
    <w:p>
      <w:pPr>
        <w:spacing w:before="480" w:after="0" w:line="408" w:lineRule="exact"/>
      </w:pPr>
      <w:r>
        <w:rPr>
          <w:b/>
          <w:u w:val="single"/>
        </w:rPr>
        <w:t xml:space="preserve">SB 5805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NOT ADOPTED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212</w:t>
      </w:r>
      <w:r>
        <w:rPr/>
        <w:t xml:space="preserve"> and 2021 c 210 s 6 are each amended to read as follows:</w:t>
      </w:r>
    </w:p>
    <w:p>
      <w:pPr>
        <w:spacing w:before="0" w:after="0" w:line="408" w:lineRule="exact"/>
        <w:ind w:left="0" w:right="0" w:firstLine="576"/>
        <w:jc w:val="left"/>
      </w:pPr>
      <w:r>
        <w:rPr/>
        <w:t xml:space="preserve">(1)(a) The court shall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(b) 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(c) Subject to availability of amounts appropriated for this specific purpose, the state shall pay the costs of legal services provided by an attorney appointed pursuant to (a) of this subsection if the legal services are provided in accordance with the rules of professional conduct, the standards of practice, caseload limits, and training guidelines adopted by the statewide children's representation work group pursuant to section 5, chapter 180, Laws of 2010 until such time that new recommendations are adopted by the children's representation work group established in section 9, chapter 210, Laws of 2021.</w:t>
      </w:r>
    </w:p>
    <w:p>
      <w:pPr>
        <w:spacing w:before="0" w:after="0" w:line="408" w:lineRule="exact"/>
        <w:ind w:left="0" w:right="0" w:firstLine="576"/>
        <w:jc w:val="left"/>
      </w:pPr>
      <w:r>
        <w:rPr/>
        <w:t xml:space="preserve">(d) The office of civil legal aid is responsible for implementation of (c) of this subsection as provided in RCW 2.53.045.</w:t>
      </w:r>
    </w:p>
    <w:p>
      <w:pPr>
        <w:spacing w:before="0" w:after="0" w:line="408" w:lineRule="exact"/>
        <w:ind w:left="0" w:right="0" w:firstLine="576"/>
        <w:jc w:val="left"/>
      </w:pPr>
      <w:r>
        <w:rPr/>
        <w:t xml:space="preserve">(e) Legal services provided by an attorney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(2)(a)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changes or alters the confidentiality provisions of RCW 13.50.100.</w:t>
      </w:r>
    </w:p>
    <w:p>
      <w:pPr>
        <w:spacing w:before="0" w:after="0" w:line="408" w:lineRule="exact"/>
        <w:ind w:left="0" w:right="0" w:firstLine="576"/>
        <w:jc w:val="left"/>
      </w:pPr>
      <w:r>
        <w:rPr/>
        <w:t xml:space="preserve">(c) The department and the child's guardian ad litem shall each notify a child of the child's right to request an attorney and shall ask the child whether the child wishes to have an attorney. The department and the child's guardian ad litem shall notify the child and make this inquiry immediately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Assignment of a case involving a child age 12 or older.</w:t>
      </w:r>
    </w:p>
    <w:p>
      <w:pPr>
        <w:spacing w:before="0" w:after="0" w:line="408" w:lineRule="exact"/>
        <w:ind w:left="0" w:right="0" w:firstLine="576"/>
        <w:jc w:val="left"/>
      </w:pPr>
      <w:r>
        <w:rPr/>
        <w:t xml:space="preserve">(d) The department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The date that a dependency petition is filed pursuant to this chapter on a child age 12 or older;</w:t>
      </w:r>
    </w:p>
    <w:p>
      <w:pPr>
        <w:spacing w:before="0" w:after="0" w:line="408" w:lineRule="exact"/>
        <w:ind w:left="0" w:right="0" w:firstLine="0"/>
        <w:jc w:val="left"/>
      </w:pPr>
      <w:r>
        <w:rPr/>
        <w:t xml:space="preserve">the court shall inquire whether the child has received notice of his or her right to request an attorney from the department and the child's guardian ad litem. The court shall make an additional inquiry at the first regularly scheduled hearing after the child's 15th birthday. No inquiry is necessary if the child has already been appointed an attorney.</w:t>
      </w:r>
    </w:p>
    <w:p>
      <w:pPr>
        <w:spacing w:before="0" w:after="0" w:line="408" w:lineRule="exact"/>
        <w:ind w:left="0" w:right="0" w:firstLine="576"/>
        <w:jc w:val="left"/>
      </w:pPr>
      <w:r>
        <w:rPr/>
        <w:t xml:space="preserve">(3) Subject to the availability of amounts appropriated for this specific purpose:</w:t>
      </w:r>
    </w:p>
    <w:p>
      <w:pPr>
        <w:spacing w:before="0" w:after="0" w:line="408" w:lineRule="exact"/>
        <w:ind w:left="0" w:right="0" w:firstLine="576"/>
        <w:jc w:val="left"/>
      </w:pPr>
      <w:r>
        <w:rPr/>
        <w:t xml:space="preserve">(a) Pursuant to the phase-in schedule set forth in (c) of this subsection (3), the court must appoint an attorney for every child in a dependency proceeding as follows:</w:t>
      </w:r>
    </w:p>
    <w:p>
      <w:pPr>
        <w:spacing w:before="0" w:after="0" w:line="408" w:lineRule="exact"/>
        <w:ind w:left="0" w:right="0" w:firstLine="576"/>
        <w:jc w:val="left"/>
      </w:pPr>
      <w:r>
        <w:rPr/>
        <w:t xml:space="preserve">(i) For a child under the age of eight, appointment must be made for the dependency and termination action upon the filing of a termination petition. Nothing in this subsection shall be construed to limit the ability of the court to appoint an attorney to represent the child's position in a dependency action on its own initiative, or upon the request of a parent, the child, a guardian ad litem, a caregiver, or the department, prior to the filing of a termination petition.</w:t>
      </w:r>
    </w:p>
    <w:p>
      <w:pPr>
        <w:spacing w:before="0" w:after="0" w:line="408" w:lineRule="exact"/>
        <w:ind w:left="0" w:right="0" w:firstLine="576"/>
        <w:jc w:val="left"/>
      </w:pPr>
      <w:r>
        <w:rPr/>
        <w:t xml:space="preserve">(ii) For a child between the ages of eight through 17, appointment must be made upon the filing of a new dependency petition at or before the commencement of the shelter care hearing.</w:t>
      </w:r>
    </w:p>
    <w:p>
      <w:pPr>
        <w:spacing w:before="0" w:after="0" w:line="408" w:lineRule="exact"/>
        <w:ind w:left="0" w:right="0" w:firstLine="576"/>
        <w:jc w:val="left"/>
      </w:pPr>
      <w:r>
        <w:rPr/>
        <w:t xml:space="preserve">(iii) For any pending or open dependency case where the child is unrepresented and is entitled to the appointment of an attorney under (a)(i) or (ii) of this subsection, appointment must be made at or before the next hearing if the child is eligible for representation pursuant to the phase-in schedule. At the next hearing, the court shall inquire into the status of attorney representation for the child, and if the child is not yet represented, appointment must be made at the hearing.</w:t>
      </w:r>
    </w:p>
    <w:p>
      <w:pPr>
        <w:spacing w:before="0" w:after="0" w:line="408" w:lineRule="exact"/>
        <w:ind w:left="0" w:right="0" w:firstLine="576"/>
        <w:jc w:val="left"/>
      </w:pPr>
      <w:r>
        <w:rPr/>
        <w:t xml:space="preserve">(b) Appointment is not required if the court has already appointed an attorney for the child, or the child is represented by a privately retained attorney.</w:t>
      </w:r>
    </w:p>
    <w:p>
      <w:pPr>
        <w:spacing w:before="0" w:after="0" w:line="408" w:lineRule="exact"/>
        <w:ind w:left="0" w:right="0" w:firstLine="576"/>
        <w:jc w:val="left"/>
      </w:pPr>
      <w:r>
        <w:rPr/>
        <w:t xml:space="preserve">(c) The statewide children's legal representation program shall develop a schedule for court appointment of attorneys for every child in dependency proceedings that will be phased in on a county-by-county basis over a </w:t>
      </w:r>
      <w:r>
        <w:t>((</w:t>
      </w:r>
      <w:r>
        <w:rPr>
          <w:strike/>
        </w:rPr>
        <w:t xml:space="preserve">six-year</w:t>
      </w:r>
      <w:r>
        <w:t>))</w:t>
      </w:r>
      <w:r>
        <w:rPr/>
        <w:t xml:space="preserve"> </w:t>
      </w:r>
      <w:r>
        <w:rPr>
          <w:u w:val="single"/>
        </w:rPr>
        <w:t xml:space="preserve">seven-year</w:t>
      </w:r>
      <w:r>
        <w:rPr/>
        <w:t xml:space="preserve"> period. The schedule required under this subsection must </w:t>
      </w:r>
      <w:r>
        <w:rPr>
          <w:u w:val="single"/>
        </w:rPr>
        <w:t xml:space="preserve">not add more than 1,250 cases each fiscal year and</w:t>
      </w:r>
      <w:r>
        <w:rPr/>
        <w:t xml:space="preserve">:</w:t>
      </w:r>
    </w:p>
    <w:p>
      <w:pPr>
        <w:spacing w:before="0" w:after="0" w:line="408" w:lineRule="exact"/>
        <w:ind w:left="0" w:right="0" w:firstLine="576"/>
        <w:jc w:val="left"/>
      </w:pPr>
      <w:r>
        <w:rPr/>
        <w:t xml:space="preserve">(i) </w:t>
      </w:r>
      <w:r>
        <w:t>((</w:t>
      </w:r>
      <w:r>
        <w:rPr>
          <w:strike/>
        </w:rPr>
        <w:t xml:space="preserve">Prioritize</w:t>
      </w:r>
      <w:r>
        <w:t>))</w:t>
      </w:r>
      <w:r>
        <w:rPr/>
        <w:t xml:space="preserve"> </w:t>
      </w:r>
      <w:r>
        <w:rPr>
          <w:u w:val="single"/>
        </w:rPr>
        <w:t xml:space="preserve">To the extent practicable, prioritize</w:t>
      </w:r>
      <w:r>
        <w:rPr/>
        <w:t xml:space="preserve"> implementation in counties that have:</w:t>
      </w:r>
    </w:p>
    <w:p>
      <w:pPr>
        <w:spacing w:before="0" w:after="0" w:line="408" w:lineRule="exact"/>
        <w:ind w:left="0" w:right="0" w:firstLine="576"/>
        <w:jc w:val="left"/>
      </w:pPr>
      <w:r>
        <w:rPr/>
        <w:t xml:space="preserve">(A) No current practice of appointment of attorneys for children in dependency cases; or</w:t>
      </w:r>
    </w:p>
    <w:p>
      <w:pPr>
        <w:spacing w:before="0" w:after="0" w:line="408" w:lineRule="exact"/>
        <w:ind w:left="0" w:right="0" w:firstLine="576"/>
        <w:jc w:val="left"/>
      </w:pPr>
      <w:r>
        <w:rPr/>
        <w:t xml:space="preserve">(B) Significant prevalence of racial disproportionality or disparities in the number of dependent children compared to the general population, or both;</w:t>
      </w:r>
    </w:p>
    <w:p>
      <w:pPr>
        <w:spacing w:before="0" w:after="0" w:line="408" w:lineRule="exact"/>
        <w:ind w:left="0" w:right="0" w:firstLine="576"/>
        <w:jc w:val="left"/>
      </w:pPr>
      <w:r>
        <w:rPr/>
        <w:t xml:space="preserve">(ii) Include representation in at least:</w:t>
      </w:r>
    </w:p>
    <w:p>
      <w:pPr>
        <w:spacing w:before="0" w:after="0" w:line="408" w:lineRule="exact"/>
        <w:ind w:left="0" w:right="0" w:firstLine="576"/>
        <w:jc w:val="left"/>
      </w:pPr>
      <w:r>
        <w:rPr/>
        <w:t xml:space="preserve">(A) Three counties beginning July 1, 2022;</w:t>
      </w:r>
    </w:p>
    <w:p>
      <w:pPr>
        <w:spacing w:before="0" w:after="0" w:line="408" w:lineRule="exact"/>
        <w:ind w:left="0" w:right="0" w:firstLine="576"/>
        <w:jc w:val="left"/>
      </w:pPr>
      <w:r>
        <w:rPr/>
        <w:t xml:space="preserve">(B) Eight counties beginning January 1, 2023;</w:t>
      </w:r>
    </w:p>
    <w:p>
      <w:pPr>
        <w:spacing w:before="0" w:after="0" w:line="408" w:lineRule="exact"/>
        <w:ind w:left="0" w:right="0" w:firstLine="576"/>
        <w:jc w:val="left"/>
      </w:pPr>
      <w:r>
        <w:rPr/>
        <w:t xml:space="preserve">(C) Fifteen counties beginning January 1, 2024;</w:t>
      </w:r>
    </w:p>
    <w:p>
      <w:pPr>
        <w:spacing w:before="0" w:after="0" w:line="408" w:lineRule="exact"/>
        <w:ind w:left="0" w:right="0" w:firstLine="576"/>
        <w:jc w:val="left"/>
      </w:pPr>
      <w:r>
        <w:rPr/>
        <w:t xml:space="preserve">(D) Twenty counties beginning January 1, 2025;</w:t>
      </w:r>
    </w:p>
    <w:p>
      <w:pPr>
        <w:spacing w:before="0" w:after="0" w:line="408" w:lineRule="exact"/>
        <w:ind w:left="0" w:right="0" w:firstLine="576"/>
        <w:jc w:val="left"/>
      </w:pPr>
      <w:r>
        <w:rPr/>
        <w:t xml:space="preserve">(E) Thirty counties beginning January 1, 2026;</w:t>
      </w:r>
    </w:p>
    <w:p>
      <w:pPr>
        <w:spacing w:before="0" w:after="0" w:line="408" w:lineRule="exact"/>
        <w:ind w:left="0" w:right="0" w:firstLine="576"/>
        <w:jc w:val="left"/>
      </w:pPr>
      <w:r>
        <w:rPr>
          <w:u w:val="single"/>
        </w:rPr>
        <w:t xml:space="preserve">(F) Thirty-six counties beginning in January 1, 2027;</w:t>
      </w:r>
      <w:r>
        <w:rPr/>
        <w:t xml:space="preserve"> and</w:t>
      </w:r>
    </w:p>
    <w:p>
      <w:pPr>
        <w:spacing w:before="0" w:after="0" w:line="408" w:lineRule="exact"/>
        <w:ind w:left="0" w:right="0" w:firstLine="576"/>
        <w:jc w:val="left"/>
      </w:pPr>
      <w:r>
        <w:rPr/>
        <w:t xml:space="preserve">(iii) Achieve full statewide implementation by January 1, </w:t>
      </w:r>
      <w:r>
        <w:t>((</w:t>
      </w:r>
      <w:r>
        <w:rPr>
          <w:strike/>
        </w:rPr>
        <w:t xml:space="preserve">2027</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(d)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this continuity of counsel.</w:t>
      </w:r>
    </w:p>
    <w:p>
      <w:pPr>
        <w:spacing w:before="0" w:after="0" w:line="408" w:lineRule="exact"/>
        <w:ind w:left="0" w:right="0" w:firstLine="576"/>
        <w:jc w:val="left"/>
      </w:pPr>
      <w:r>
        <w:rPr/>
        <w:t xml:space="preserve">(e) The statewide children's legal representation program is responsible for the recruitment, training, and oversight of attorneys providing standards-based representation pursuant to (a) and (c) of this subsection as provided in RCW 2.53.045 and shall ensure that attorneys representing children pursuant to this section provide legal services according to the rules of professional conduct, the standards of practice, caseload limits, and training guidelines adopted by the children's representation work group established in section 9, chapter 210, Laws of 2021.</w:t>
      </w:r>
    </w:p>
    <w:p>
      <w:pPr>
        <w:spacing w:before="0" w:after="0" w:line="408" w:lineRule="exact"/>
        <w:ind w:left="0" w:right="0" w:firstLine="576"/>
        <w:jc w:val="left"/>
      </w:pPr>
      <w:r>
        <w:rPr>
          <w:u w:val="single"/>
        </w:rPr>
        <w:t xml:space="preserve">(f) The statewide children's legal representation program shall coordinate with the Washington state bar association and local county bar associations regarding the advertising of contract attorney opportunities for providing legal representation pursuant to (a) and (c) of this subsection.</w:t>
      </w:r>
    </w:p>
    <w:p>
      <w:pPr>
        <w:spacing w:before="0" w:after="0" w:line="408" w:lineRule="exact"/>
        <w:ind w:left="0" w:right="0" w:firstLine="576"/>
        <w:jc w:val="left"/>
      </w:pPr>
      <w:r>
        <w:rPr>
          <w:u w:val="single"/>
        </w:rPr>
        <w:t xml:space="preserve">(g) The statewide children's legal representation program shall coordinate with the office of public defense regarding posting on the office of public defense website contract attorney opportunities for providing legal representation pursuant to (a) and (c) of this subsection.</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Statewide Children's Legal Representation Program (Program) within the Office of Civil Legal Aid to coordinate with the Washington State Bar Association and with county bar associations regarding the advertising of contract attorney opportunities with the Program. Requires the Program to coordinate with the Office of Public Defense (OPD) regarding posting on the OPD website contract attorney opportunities with the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adca8d7d6e4f7a" /></Relationships>
</file>