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e92b75de84fd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5462.E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MCEN</w:t>
        </w:r>
      </w:r>
      <w:r>
        <w:rPr>
          <w:b/>
        </w:rPr>
        <w:t xml:space="preserve"> </w:t>
        <w:r>
          <w:rPr/>
          <w:t xml:space="preserve">H3483.1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5462</w:t>
      </w:r>
      <w:r>
        <w:t xml:space="preserve"> -</w:t>
      </w:r>
      <w:r>
        <w:t xml:space="preserve"> </w:t>
        <w:t xml:space="preserve">H AMD TO APP COMM AMD (H-3463.1/24)</w:t>
      </w:r>
      <w:r>
        <w:t xml:space="preserve"> </w:t>
      </w:r>
      <w:r>
        <w:rPr>
          <w:b/>
        </w:rPr>
        <w:t xml:space="preserve">1209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McEntire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after line 30,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(19) State learning standards that are developed or revised in accordance with subsection (2)(b) of this section do not take effect until approved by the legislature.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new or revised state learning standards that are screened for biased content and include the concepts of diversity, equity, and inclusion, take effect only after approval by the Legislature.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eb78aaa544238" /></Relationships>
</file>