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4d0b8b031f48e0" /></Relationships>
</file>

<file path=word/document.xml><?xml version="1.0" encoding="utf-8"?>
<w:document xmlns:w="http://schemas.openxmlformats.org/wordprocessingml/2006/main">
  <w:body>
    <w:p>
      <w:r>
        <w:rPr>
          <w:b/>
        </w:rPr>
        <w:r>
          <w:rPr/>
          <w:t xml:space="preserve">5096-S</w:t>
        </w:r>
      </w:r>
      <w:r>
        <w:rPr>
          <w:b/>
        </w:rPr>
        <w:t xml:space="preserve"> </w:t>
        <w:t xml:space="preserve">AMH</w:t>
      </w:r>
      <w:r>
        <w:rPr>
          <w:b/>
        </w:rPr>
        <w:t xml:space="preserve"> </w:t>
        <w:r>
          <w:rPr/>
          <w:t xml:space="preserve">ICEV</w:t>
        </w:r>
      </w:r>
      <w:r>
        <w:rPr>
          <w:b/>
        </w:rPr>
        <w:t xml:space="preserve"> </w:t>
        <w:r>
          <w:rPr/>
          <w:t xml:space="preserve">H1657.1</w:t>
        </w:r>
      </w:r>
      <w:r>
        <w:rPr>
          <w:b/>
        </w:rPr>
        <w:t xml:space="preserve"> - NOT FOR FLOOR USE</w:t>
      </w:r>
    </w:p>
    <w:p>
      <w:pPr>
        <w:ind w:left="0" w:right="0" w:firstLine="576"/>
      </w:pPr>
      <w:r>
        <w:rPr/>
        <w:t xml:space="preserve"> </w:t>
      </w:r>
    </w:p>
    <w:p>
      <w:pPr>
        <w:spacing w:before="480" w:after="0" w:line="408" w:lineRule="exact"/>
      </w:pPr>
      <w:r>
        <w:rPr>
          <w:b/>
          <w:u w:val="single"/>
        </w:rPr>
        <w:t xml:space="preserve">SSB 5096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Innovation, Community &amp; Economic Development, &amp; Veterans</w:t>
      </w:r>
    </w:p>
    <w:p>
      <w:pPr>
        <w:jc w:val="right"/>
      </w:pPr>
      <w:r>
        <w:rPr>
          <w:b/>
        </w:rPr>
        <w:t xml:space="preserve">ADOPTED 04/17/2023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w:t>
      </w:r>
    </w:p>
    <w:p>
      <w:pPr>
        <w:spacing w:before="0" w:after="0" w:line="408" w:lineRule="exact"/>
        <w:ind w:left="0" w:right="0" w:firstLine="576"/>
        <w:jc w:val="left"/>
      </w:pPr>
      <w:r>
        <w:rPr/>
        <w:t xml:space="preserve">(vii) Create an inventory of employee-owned businesses in the state including employee stock ownership plans, worker cooperatives, and employee ownership trusts; and</w:t>
      </w:r>
    </w:p>
    <w:p>
      <w:pPr>
        <w:spacing w:before="0" w:after="0" w:line="408" w:lineRule="exact"/>
        <w:ind w:left="0" w:right="0" w:firstLine="576"/>
        <w:jc w:val="left"/>
      </w:pPr>
      <w:r>
        <w:rPr/>
        <w:t xml:space="preserve">(viii)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6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and the number of employee-owned businesses and employee-owned trusts in the state,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w:t>
      </w:r>
    </w:p>
    <w:p>
      <w:pPr>
        <w:spacing w:before="0" w:after="0" w:line="408" w:lineRule="exact"/>
        <w:ind w:left="0" w:right="0" w:firstLine="576"/>
        <w:jc w:val="left"/>
      </w:pPr>
      <w:r>
        <w:rPr/>
        <w:t xml:space="preserve">(i) An employee cooperative established under chapter 23.78, 23.86, 23.100, or 24.06 RCW that has at least 50 percent of its board of directors consisting of, and elected by, its employees; or</w:t>
      </w:r>
    </w:p>
    <w:p>
      <w:pPr>
        <w:spacing w:before="0" w:after="0" w:line="408" w:lineRule="exact"/>
        <w:ind w:left="0" w:right="0" w:firstLine="576"/>
        <w:jc w:val="left"/>
      </w:pPr>
      <w:r>
        <w:rPr/>
        <w:t xml:space="preserve">(ii)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worker cooperative business. The initial term shall be four years;</w:t>
      </w:r>
    </w:p>
    <w:p>
      <w:pPr>
        <w:spacing w:before="0" w:after="0" w:line="408" w:lineRule="exact"/>
        <w:ind w:left="0" w:right="0" w:firstLine="576"/>
        <w:jc w:val="left"/>
      </w:pPr>
      <w:r>
        <w:rPr/>
        <w:t xml:space="preserve">(B) One representative of an employee stock ownership plan business.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with employee ownership knowledge and experience.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The commission shall conduct market research for the purposes of, or to support, a future application to the federal government for a program to assist in the purchase of an interest in an employee stock ownership plan qualifying under section 401 of the internal revenue code, worker cooperative, or related broad-based employee ownership vehicle.</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of the effective date of this section.</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of the effective date of this section, or such subsequent dates as may be provided by rule by the department, consistent with the purposes of this section.</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the membership of the Washington Employee Ownership Commission by: (1) Including one member representing a worker cooperative business instead of a small business utilizing employee ownership structures; and (2) including one member representing an employee stock ownership plan business instead of a large business utilizing employee ownership structures.</w:t>
      </w:r>
    </w:p>
    <w:p>
      <w:pPr>
        <w:spacing w:before="0" w:after="0" w:line="408" w:lineRule="exact"/>
        <w:ind w:left="0" w:right="0" w:firstLine="576"/>
        <w:jc w:val="left"/>
      </w:pPr>
      <w:r>
        <w:rPr/>
        <w:t xml:space="preserve">Provides that the definition of "worker-owned cooperative," for purposes of the business and occupation tax credit provisions, has the same meaning as the federal definition in effect as of the effective date of the provisions, or subsequent dates as provided by administrative rule.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71333868c4d82" /></Relationships>
</file>