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ba4ae8bd943b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2331-S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CHRI</w:t>
        </w:r>
      </w:r>
      <w:r>
        <w:rPr>
          <w:b/>
        </w:rPr>
        <w:t xml:space="preserve"> </w:t>
        <w:r>
          <w:rPr/>
          <w:t xml:space="preserve">H3237.1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2331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950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Christian</w:t>
      </w:r>
    </w:p>
    <w:p>
      <w:pPr>
        <w:jc w:val="right"/>
      </w:pPr>
      <w:r>
        <w:rPr>
          <w:b/>
        </w:rPr>
        <w:t xml:space="preserve">NOT ADOPTED 02/10/2024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4, after "subsection;"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13, after "superintendent" insert ";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Provide that decisions made by a superintendent under (e) of this subsection (1) may only be issued after a public hearing evaluating the materials that are the subject of the requested review as required by RCW 28A.150.230(2)(g) has been completed"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18, after "</w:t>
      </w:r>
      <w:r>
        <w:rPr>
          <w:u w:val="single"/>
        </w:rPr>
        <w:t xml:space="preserve">superintendent</w:t>
      </w:r>
      <w:r>
        <w:rPr/>
        <w:t xml:space="preserve">" insert "</w:t>
      </w:r>
      <w:r>
        <w:rPr>
          <w:u w:val="single"/>
        </w:rPr>
        <w:t xml:space="preserve">. Decisions made by a superintendent under this subsection (1)(a)(v)(D) may only be issued after a public hearing evaluating the materials that are the subject of the complaint as required by RCW 28A.150.230(2)(g) has been completed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appeal decisions by school district superintendents on: (1) Requests for reviews and potential removals of supplemental instructional materials; and (2) complaints about instructional materials, may only be issued after a required public hearing by the school district board of directors evaluating the materials has been completed.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b5e127397477a" /></Relationships>
</file>