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9c3fc2df148f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2144-S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CORR</w:t>
        </w:r>
      </w:r>
      <w:r>
        <w:rPr>
          <w:b/>
        </w:rPr>
        <w:t xml:space="preserve"> </w:t>
        <w:r>
          <w:rPr/>
          <w:t xml:space="preserve">H3213.1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2144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Corry</w:t>
      </w:r>
    </w:p>
    <w:p>
      <w:pPr>
        <w:jc w:val="right"/>
      </w:pPr>
      <w:r>
        <w:rPr>
          <w:b/>
        </w:rPr>
        <w:t xml:space="preserve">NOT CONSIDERED 03/07/2024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13, after "areas." insert "Drop-off locations must be located so that no person must travel more than one mile in order to return a beverage container."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drop-off locations to be located so that no person has to travel further than one mile in order to return a beverage container.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3b05d749b437f" /></Relationships>
</file>