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8c73551a118412e" /></Relationships>
</file>

<file path=word/document.xml><?xml version="1.0" encoding="utf-8"?>
<w:document xmlns:w="http://schemas.openxmlformats.org/wordprocessingml/2006/main">
  <w:body>
    <w:p>
      <w:r>
        <w:rPr>
          <w:b/>
        </w:rPr>
        <w:r>
          <w:rPr/>
          <w:t xml:space="preserve">1468</w:t>
        </w:r>
      </w:r>
      <w:r>
        <w:rPr>
          <w:b/>
        </w:rPr>
        <w:t xml:space="preserve"> </w:t>
        <w:t xml:space="preserve">AMH</w:t>
      </w:r>
      <w:r>
        <w:rPr>
          <w:b/>
        </w:rPr>
        <w:t xml:space="preserve"> </w:t>
        <w:r>
          <w:rPr/>
          <w:t xml:space="preserve">PETE</w:t>
        </w:r>
      </w:r>
      <w:r>
        <w:rPr>
          <w:b/>
        </w:rPr>
        <w:t xml:space="preserve"> </w:t>
        <w:r>
          <w:rPr/>
          <w:t xml:space="preserve">H2735.1</w:t>
        </w:r>
      </w:r>
      <w:r>
        <w:rPr>
          <w:b/>
        </w:rPr>
        <w:t xml:space="preserve"> - NOT FOR FLOOR USE</w:t>
      </w:r>
    </w:p>
    <w:p>
      <w:pPr>
        <w:ind w:left="0" w:right="0" w:firstLine="576"/>
      </w:pPr>
    </w:p>
    <w:p>
      <w:pPr>
        <w:spacing w:before="480" w:after="0" w:line="408" w:lineRule="exact"/>
      </w:pPr>
      <w:r>
        <w:rPr>
          <w:b/>
          <w:u w:val="single"/>
        </w:rPr>
        <w:t xml:space="preserve">HB 1468</w:t>
      </w:r>
      <w:r>
        <w:t xml:space="preserve"> -</w:t>
      </w:r>
      <w:r>
        <w:t xml:space="preserve"> </w:t>
        <w:t xml:space="preserve">H AMD</w:t>
      </w:r>
      <w:r>
        <w:t xml:space="preserve"> </w:t>
      </w:r>
      <w:r>
        <w:rPr>
          <w:b/>
        </w:rPr>
        <w:t xml:space="preserve">794</w:t>
      </w:r>
    </w:p>
    <w:p>
      <w:pPr>
        <w:spacing w:before="0" w:after="0" w:line="408" w:lineRule="exact"/>
        <w:ind w:left="0" w:right="0" w:firstLine="576"/>
        <w:jc w:val="left"/>
      </w:pPr>
      <w:r>
        <w:rPr/>
        <w:t xml:space="preserve">By Representative Peterson</w:t>
      </w:r>
    </w:p>
    <w:p>
      <w:pPr>
        <w:jc w:val="right"/>
      </w:pPr>
      <w:r>
        <w:rPr>
          <w:b/>
        </w:rPr>
        <w:t xml:space="preserve">WITHDRAWN 02/13/2024</w:t>
      </w:r>
    </w:p>
    <w:p>
      <w:pPr>
        <w:spacing w:before="0" w:after="0" w:line="408" w:lineRule="exact"/>
        <w:ind w:left="0" w:right="0" w:firstLine="576"/>
        <w:jc w:val="left"/>
      </w:pPr>
      <w:r>
        <w:rPr/>
        <w:t xml:space="preserve">Beginning on page 1, line 4, strike all of section 1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2015 c 241 s 1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(3)(a)</w:t>
      </w:r>
      <w:r>
        <w:t>((</w:t>
      </w:r>
      <w:r>
        <w:rPr>
          <w:strike/>
        </w:rPr>
        <w:t xml:space="preserve">(i)</w:t>
      </w:r>
      <w:r>
        <w:t>))</w:t>
      </w:r>
      <w:r>
        <w:rPr/>
        <w:t xml:space="preserve"> Counties, cities, and towns collecting impact fees must, by September 1, </w:t>
      </w:r>
      <w:r>
        <w:t>((</w:t>
      </w:r>
      <w:r>
        <w:rPr>
          <w:strike/>
        </w:rPr>
        <w:t xml:space="preserve">2016</w:t>
      </w:r>
      <w:r>
        <w:t>))</w:t>
      </w:r>
      <w:r>
        <w:rPr/>
        <w:t xml:space="preserve"> </w:t>
      </w:r>
      <w:r>
        <w:rPr>
          <w:u w:val="single"/>
        </w:rPr>
        <w:t xml:space="preserve">2025</w:t>
      </w:r>
      <w:r>
        <w:rPr/>
        <w:t xml:space="preserve">, adopt and maintain a system for the deferred collection of impact fees for single-family detached and attached residential construction. The deferral system must include a process by which an applicant for a building permit for a single-family detached or attached residence may request a </w:t>
      </w:r>
      <w:r>
        <w:rPr>
          <w:u w:val="single"/>
        </w:rPr>
        <w:t xml:space="preserve">voluntary agreement with counties, cities, towns, or other municipal corporations that allows for a</w:t>
      </w:r>
      <w:r>
        <w:rPr/>
        <w:t xml:space="preserve"> deferral of the full impact fee payment. </w:t>
      </w:r>
      <w:r>
        <w:t>((</w:t>
      </w:r>
      <w:r>
        <w:rPr>
          <w:strike/>
        </w:rPr>
        <w:t xml:space="preserve">The deferral system offered by a county, city, or town under this subsection (3) must include one or more of the following options:</w:t>
      </w:r>
    </w:p>
    <w:p>
      <w:pPr>
        <w:spacing w:before="0" w:after="0" w:line="408" w:lineRule="exact"/>
        <w:ind w:left="0" w:right="0" w:firstLine="576"/>
        <w:jc w:val="left"/>
      </w:pPr>
      <w:r>
        <w:rPr>
          <w:strike/>
        </w:rPr>
        <w:t xml:space="preserve">(A) Deferring collection of the impact fee payment until final inspection;</w:t>
      </w:r>
    </w:p>
    <w:p>
      <w:pPr>
        <w:spacing w:before="0" w:after="0" w:line="408" w:lineRule="exact"/>
        <w:ind w:left="0" w:right="0" w:firstLine="576"/>
        <w:jc w:val="left"/>
      </w:pPr>
      <w:r>
        <w:rPr>
          <w:strike/>
        </w:rPr>
        <w:t xml:space="preserve">(B) Deferring collection of the impact fee payment until certificate of occupancy or equivalent certification; or</w:t>
      </w:r>
    </w:p>
    <w:p>
      <w:pPr>
        <w:spacing w:before="0" w:after="0" w:line="408" w:lineRule="exact"/>
        <w:ind w:left="0" w:right="0" w:firstLine="576"/>
        <w:jc w:val="left"/>
      </w:pPr>
      <w:r>
        <w:rPr>
          <w:strike/>
        </w:rPr>
        <w:t xml:space="preserve">(C) Deferring collection of the impact fee payment until the time of closing of the first sale of the property occurring after the issuance of the applicable building permit.</w:t>
      </w:r>
    </w:p>
    <w:p>
      <w:pPr>
        <w:spacing w:before="0" w:after="0" w:line="408" w:lineRule="exact"/>
        <w:ind w:left="0" w:right="0" w:firstLine="576"/>
        <w:jc w:val="left"/>
      </w:pPr>
      <w:r>
        <w:rPr>
          <w:strike/>
        </w:rPr>
        <w:t xml:space="preserve">(ii) Counties, cities, and towns utilizing the deferral process required by this subsection (3)(a)</w:t>
      </w:r>
      <w:r>
        <w:t>))</w:t>
      </w:r>
      <w:r>
        <w:rPr/>
        <w:t xml:space="preserve"> </w:t>
      </w:r>
      <w:r>
        <w:rPr>
          <w:u w:val="single"/>
        </w:rPr>
        <w:t xml:space="preserve">The offered agreement must be publicly posted and must include a provision for payment of the impact fee:</w:t>
      </w:r>
    </w:p>
    <w:p>
      <w:pPr>
        <w:spacing w:before="0" w:after="0" w:line="408" w:lineRule="exact"/>
        <w:ind w:left="0" w:right="0" w:firstLine="576"/>
        <w:jc w:val="left"/>
      </w:pPr>
      <w:r>
        <w:rPr>
          <w:u w:val="single"/>
        </w:rPr>
        <w:t xml:space="preserve">(i) At the time of the issuance of a certificate of occupancy or equivalent certification for the lot or unit;</w:t>
      </w:r>
    </w:p>
    <w:p>
      <w:pPr>
        <w:spacing w:before="0" w:after="0" w:line="408" w:lineRule="exact"/>
        <w:ind w:left="0" w:right="0" w:firstLine="576"/>
        <w:jc w:val="left"/>
      </w:pPr>
      <w:r>
        <w:rPr>
          <w:u w:val="single"/>
        </w:rPr>
        <w:t xml:space="preserve">(ii) At the time of the closing of the first sale of the lot or unit occurring after the issuance of the applicable building permit; or</w:t>
      </w:r>
    </w:p>
    <w:p>
      <w:pPr>
        <w:spacing w:before="0" w:after="0" w:line="408" w:lineRule="exact"/>
        <w:ind w:left="0" w:right="0" w:firstLine="576"/>
        <w:jc w:val="left"/>
      </w:pPr>
      <w:r>
        <w:rPr>
          <w:u w:val="single"/>
        </w:rPr>
        <w:t xml:space="preserve">(iii) At the time of final inspection.</w:t>
      </w:r>
    </w:p>
    <w:p>
      <w:pPr>
        <w:spacing w:before="0" w:after="0" w:line="408" w:lineRule="exact"/>
        <w:ind w:left="0" w:right="0" w:firstLine="576"/>
        <w:jc w:val="left"/>
      </w:pPr>
      <w:r>
        <w:rPr>
          <w:u w:val="single"/>
        </w:rPr>
        <w:t xml:space="preserve">(b) If a county, city, or town has determined that payment of the impact fees is due at the time of the issuance of the certificate of occupancy or equivalent certification or at the time of the final inspection, the county, city, or town</w:t>
      </w:r>
      <w:r>
        <w:rPr/>
        <w:t xml:space="preserve"> may withhold certification of final inspection, </w:t>
      </w:r>
      <w:r>
        <w:rPr>
          <w:u w:val="single"/>
        </w:rPr>
        <w:t xml:space="preserve">the</w:t>
      </w:r>
      <w:r>
        <w:rPr/>
        <w:t xml:space="preserve"> certificate of occupancy, or equivalent certification until the impact fees have been paid in full.</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t>((</w:t>
      </w:r>
      <w:r>
        <w:rPr>
          <w:strike/>
        </w:rPr>
        <w:t xml:space="preserve">(iv)</w:t>
      </w:r>
      <w:r>
        <w:t>))</w:t>
      </w:r>
      <w:r>
        <w:rPr/>
        <w:t xml:space="preserve"> </w:t>
      </w:r>
      <w:r>
        <w:rPr>
          <w:u w:val="single"/>
        </w:rPr>
        <w:t xml:space="preserve">(d)(i)</w:t>
      </w:r>
      <w:r>
        <w:rPr/>
        <w:t xml:space="preserve">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t>((</w:t>
      </w:r>
      <w:r>
        <w:rPr>
          <w:strike/>
        </w:rPr>
        <w:t xml:space="preserve">(b)</w:t>
      </w:r>
      <w:r>
        <w:t>))</w:t>
      </w:r>
      <w:r>
        <w:rPr/>
        <w:t xml:space="preserve"> </w:t>
      </w:r>
      <w:r>
        <w:rPr>
          <w:u w:val="single"/>
        </w:rPr>
        <w:t xml:space="preserve">(ii) The seller must provide written disclosure of a deferral agreement to the buyer as required by chapter 64.06 RCW.</w:t>
      </w:r>
    </w:p>
    <w:p>
      <w:pPr>
        <w:spacing w:before="0" w:after="0" w:line="408" w:lineRule="exact"/>
        <w:ind w:left="0" w:right="0" w:firstLine="576"/>
        <w:jc w:val="left"/>
      </w:pPr>
      <w:r>
        <w:rPr>
          <w:u w:val="single"/>
        </w:rPr>
        <w:t xml:space="preserve">(e)</w:t>
      </w:r>
      <w:r>
        <w:rPr/>
        <w:t xml:space="preserve"> The term of an impact fee deferral under this subsection (3) may not exceed </w:t>
      </w:r>
      <w:r>
        <w:t>((</w:t>
      </w:r>
      <w:r>
        <w:rPr>
          <w:strike/>
        </w:rPr>
        <w:t xml:space="preserve">eighteen</w:t>
      </w:r>
      <w:r>
        <w:t>))</w:t>
      </w:r>
      <w:r>
        <w:rPr/>
        <w:t xml:space="preserve"> </w:t>
      </w:r>
      <w:r>
        <w:rPr>
          <w:u w:val="single"/>
        </w:rPr>
        <w:t xml:space="preserve">18</w:t>
      </w:r>
      <w:r>
        <w:rPr/>
        <w:t xml:space="preserve"> months from the date of building permit issuance.</w:t>
      </w:r>
    </w:p>
    <w:p>
      <w:pPr>
        <w:spacing w:before="0" w:after="0" w:line="408" w:lineRule="exact"/>
        <w:ind w:left="0" w:right="0" w:firstLine="576"/>
        <w:jc w:val="left"/>
      </w:pPr>
      <w:r>
        <w:t>((</w:t>
      </w:r>
      <w:r>
        <w:rPr>
          <w:strike/>
        </w:rPr>
        <w:t xml:space="preserve">(c) 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strike/>
        </w:rPr>
        <w:t xml:space="preserve">(i) In a form approved by the county, city, or town;</w:t>
      </w:r>
    </w:p>
    <w:p>
      <w:pPr>
        <w:spacing w:before="0" w:after="0" w:line="408" w:lineRule="exact"/>
        <w:ind w:left="0" w:right="0" w:firstLine="576"/>
        <w:jc w:val="left"/>
      </w:pPr>
      <w:r>
        <w:rPr>
          <w:strike/>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strike/>
        </w:rPr>
        <w:t xml:space="preserve">(iii) Binding on all successors in title after the recordation; and</w:t>
      </w:r>
    </w:p>
    <w:p>
      <w:pPr>
        <w:spacing w:before="0" w:after="0" w:line="408" w:lineRule="exact"/>
        <w:ind w:left="0" w:right="0" w:firstLine="576"/>
        <w:jc w:val="left"/>
      </w:pPr>
      <w:r>
        <w:rPr>
          <w:strike/>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strike/>
        </w:rPr>
        <w:t xml:space="preserve">(d)(i)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rPr>
          <w:strike/>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p>
    <w:p>
      <w:pPr>
        <w:spacing w:before="0" w:after="0" w:line="408" w:lineRule="exact"/>
        <w:ind w:left="0" w:right="0" w:firstLine="576"/>
        <w:jc w:val="left"/>
      </w:pPr>
      <w:r>
        <w:rPr>
          <w:strike/>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strike/>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r>
        <w:t>))</w:t>
      </w:r>
    </w:p>
    <w:p>
      <w:pPr>
        <w:spacing w:before="0" w:after="0" w:line="408" w:lineRule="exact"/>
        <w:ind w:left="0" w:right="0" w:firstLine="576"/>
        <w:jc w:val="left"/>
      </w:pPr>
      <w:r>
        <w:rPr/>
        <w:t xml:space="preserve">(f)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t>((</w:t>
      </w:r>
      <w:r>
        <w:rPr>
          <w:strike/>
        </w:rPr>
        <w:t xml:space="preserve">(g)(i)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p>
    <w:p>
      <w:pPr>
        <w:spacing w:before="0" w:after="0" w:line="408" w:lineRule="exact"/>
        <w:ind w:left="0" w:right="0" w:firstLine="576"/>
        <w:jc w:val="left"/>
      </w:pPr>
      <w:r>
        <w:rPr>
          <w:strike/>
        </w:rPr>
        <w:t xml:space="preserve">(ii) For purposes of this subsection (3)(g), an "applicant" includes an entity that controls the applicant, is controlled by the applicant, or is under common control with the applicant.</w:t>
      </w:r>
    </w:p>
    <w:p>
      <w:pPr>
        <w:spacing w:before="0" w:after="0" w:line="408" w:lineRule="exact"/>
        <w:ind w:left="0" w:right="0" w:firstLine="576"/>
        <w:jc w:val="left"/>
      </w:pPr>
      <w:r>
        <w:rPr>
          <w:strike/>
        </w:rPr>
        <w:t xml:space="preserve">(h)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rPr>
          <w:strike/>
        </w:rPr>
        <w:t xml:space="preserve">(i) In accordance with RCW 44.28.812 and 43.31.980, counties, cities, and towns must cooperate with and provide requested data, materials, and assistance to the department of commerce and the joint legislative audit and review committee.</w:t>
      </w:r>
      <w:r>
        <w:t>))</w:t>
      </w:r>
    </w:p>
    <w:p>
      <w:pPr>
        <w:spacing w:before="0" w:after="0" w:line="408" w:lineRule="exact"/>
        <w:ind w:left="0" w:right="0" w:firstLine="576"/>
        <w:jc w:val="left"/>
      </w:pPr>
      <w:r>
        <w:rPr/>
        <w:t xml:space="preserve">(4)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(5)(a)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is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(i)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(ii) Additional demands placed on existing public facilities by new development; and</w:t>
      </w:r>
    </w:p>
    <w:p>
      <w:pPr>
        <w:spacing w:before="0" w:after="0" w:line="408" w:lineRule="exact"/>
        <w:ind w:left="0" w:right="0" w:firstLine="576"/>
        <w:jc w:val="left"/>
      </w:pPr>
      <w:r>
        <w:rPr/>
        <w:t xml:space="preserve">(iii) Additional public facility improvements required to serve new development.</w:t>
      </w:r>
    </w:p>
    <w:p>
      <w:pPr>
        <w:spacing w:before="0" w:after="0" w:line="408" w:lineRule="exact"/>
        <w:ind w:left="0" w:right="0" w:firstLine="576"/>
        <w:jc w:val="left"/>
      </w:pPr>
      <w:r>
        <w:rPr/>
        <w:t xml:space="preserve">(b)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0" w:after="0" w:line="408" w:lineRule="exact"/>
        <w:ind w:left="0" w:right="0" w:firstLine="576"/>
        <w:jc w:val="left"/>
      </w:pPr>
      <w:r>
        <w:rPr>
          <w:u w:val="single"/>
        </w:rPr>
        <w:t xml:space="preserve">EFFECT:</w:t>
      </w:r>
      <w:r>
        <w:rPr/>
        <w:t xml:space="preserve"> Requires that an impact fee deferral agreement offered by counties, cities, towns, or other municipal corporations be publicly posted.</w:t>
      </w:r>
    </w:p>
    <w:p>
      <w:pPr>
        <w:spacing w:before="0" w:after="0" w:line="408" w:lineRule="exact"/>
        <w:ind w:left="0" w:right="0" w:firstLine="576"/>
        <w:jc w:val="left"/>
      </w:pPr>
      <w:r>
        <w:rPr/>
        <w:t xml:space="preserve">Allows for the option of the payment of the deferred fee to occur at the time of the closing of the first sale of the lot or unit that occurs after the issuance of a building permit.</w:t>
      </w:r>
    </w:p>
    <w:p>
      <w:pPr>
        <w:spacing w:before="0" w:after="0" w:line="408" w:lineRule="exact"/>
        <w:ind w:left="0" w:right="0" w:firstLine="576"/>
        <w:jc w:val="left"/>
      </w:pPr>
      <w:r>
        <w:rPr/>
        <w:t xml:space="preserve">Provides that the withholding of a certificate of occupancy, certification of final inspection, or equivalent certification is discretionary, rather than mandatory, if the impact fees deferred until the issuance of such a certification have not been paid.</w:t>
      </w:r>
    </w:p>
    <w:p>
      <w:pPr>
        <w:spacing w:before="0" w:after="0" w:line="408" w:lineRule="exact"/>
        <w:ind w:left="0" w:right="0" w:firstLine="576"/>
        <w:jc w:val="left"/>
      </w:pPr>
      <w:r>
        <w:rPr/>
        <w:t xml:space="preserve">Requires that, if impact fees are deferred until the closing of the first sale of the property, the seller must provide a written disclosure of the deferral agreement to the buyer.</w:t>
      </w:r>
    </w:p>
    <w:p>
      <w:pPr>
        <w:spacing w:before="0" w:after="0" w:line="408" w:lineRule="exact"/>
        <w:ind w:left="0" w:right="0" w:firstLine="576"/>
        <w:jc w:val="left"/>
      </w:pPr>
      <w:r>
        <w:rPr/>
        <w:t xml:space="preserve">Removes provisions limiting an applicant to 20 annual impact fee deferrals and allowing counties, cities, and towns to collect reasonable administrative fees related to the deferral.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2d3c3ea8314180" /></Relationships>
</file>