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e2e97e97e44eed" /></Relationships>
</file>

<file path=word/document.xml><?xml version="1.0" encoding="utf-8"?>
<w:document xmlns:w="http://schemas.openxmlformats.org/wordprocessingml/2006/main">
  <w:body>
    <w:p>
      <w:r>
        <w:rPr>
          <w:b/>
        </w:rPr>
        <w:r>
          <w:rPr/>
          <w:t xml:space="preserve">1362-S.E</w:t>
        </w:r>
      </w:r>
      <w:r>
        <w:rPr>
          <w:b/>
        </w:rPr>
        <w:t xml:space="preserve"> </w:t>
        <w:t xml:space="preserve">AMH</w:t>
      </w:r>
      <w:r>
        <w:rPr>
          <w:b/>
        </w:rPr>
        <w:t xml:space="preserve"> </w:t>
        <w:r>
          <w:rPr/>
          <w:t xml:space="preserve">STEA</w:t>
        </w:r>
      </w:r>
      <w:r>
        <w:rPr>
          <w:b/>
        </w:rPr>
        <w:t xml:space="preserve"> </w:t>
        <w:r>
          <w:rPr/>
          <w:t xml:space="preserve">H2628.2</w:t>
        </w:r>
      </w:r>
      <w:r>
        <w:rPr>
          <w:b/>
        </w:rPr>
        <w:t xml:space="preserve"> - NOT FOR FLOOR USE</w:t>
      </w:r>
    </w:p>
    <w:p>
      <w:pPr>
        <w:ind w:left="0" w:right="0" w:firstLine="576"/>
      </w:pPr>
    </w:p>
    <w:p>
      <w:pPr>
        <w:spacing w:before="480" w:after="0" w:line="408" w:lineRule="exact"/>
      </w:pPr>
      <w:r>
        <w:rPr>
          <w:b/>
          <w:u w:val="single"/>
        </w:rPr>
        <w:t xml:space="preserve">ESHB 1362</w:t>
      </w:r>
      <w:r>
        <w:t xml:space="preserve"> -</w:t>
      </w:r>
      <w:r>
        <w:t xml:space="preserve"> </w:t>
        <w:t xml:space="preserve">H AMD</w:t>
      </w:r>
      <w:r>
        <w:t xml:space="preserve"> </w:t>
      </w:r>
      <w:r>
        <w:rPr>
          <w:b/>
        </w:rPr>
        <w:t xml:space="preserve">795</w:t>
      </w:r>
    </w:p>
    <w:p>
      <w:pPr>
        <w:spacing w:before="0" w:after="0" w:line="408" w:lineRule="exact"/>
        <w:ind w:left="0" w:right="0" w:firstLine="576"/>
        <w:jc w:val="left"/>
      </w:pPr>
      <w:r>
        <w:rPr/>
        <w:t xml:space="preserve">By Representative Stearns</w:t>
      </w:r>
    </w:p>
    <w:p>
      <w:pPr>
        <w:jc w:val="right"/>
      </w:pPr>
      <w:r>
        <w:rPr>
          <w:b/>
        </w:rPr>
        <w:t xml:space="preserve">ADOPTED 01/31/2024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requiring state agencies to report to the legislature is an important method of providing information and keeping the legislature informed on the implementation and impacts of legislation. Some reports provide information that is no longer relevant or useful to the legislature, which can be discerned by the lack of interest in the report. There are other reports that are redundant as the information is provided through other means. In addition, preparing reports is time consuming, and there may be better, more efficient mechanisms for sharing information with legislators as well as the public, such as posting the information on agency websites. Finally, some reports are required on a more frequent basis than is necessary, as the information does not change to an extent that merits the increased frequency.</w:t>
      </w:r>
    </w:p>
    <w:p>
      <w:pPr>
        <w:spacing w:before="0" w:after="0" w:line="408" w:lineRule="exact"/>
        <w:ind w:left="0" w:right="0" w:firstLine="576"/>
        <w:jc w:val="left"/>
      </w:pPr>
      <w:r>
        <w:rPr/>
        <w:t xml:space="preserve">(2) In order to improve agency efficiency and still ensure that information is publicly available and provided to the legislature as needed, it is the intent of this act to eliminate reports that no longer serve a relevant purpose, change reporting frequency where warranted, and provide alternative mechanisms in place of submitting reports where appropriate.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MODIFICATIONS TO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020</w:t>
      </w:r>
      <w:r>
        <w:rPr/>
        <w:t xml:space="preserve"> and 2017 c 123 s 1 are each amended to read as follows:</w:t>
      </w:r>
    </w:p>
    <w:p>
      <w:pPr>
        <w:spacing w:before="0" w:after="0" w:line="408" w:lineRule="exact"/>
        <w:ind w:left="0" w:right="0" w:firstLine="576"/>
        <w:jc w:val="left"/>
      </w:pPr>
      <w:r>
        <w:rPr/>
        <w:t xml:space="preserve">The superintendent of public instruction shall review annually the transitional bilingual instruction program and shall submit a report of such review to the legislature on or before </w:t>
      </w:r>
      <w:r>
        <w:t>((</w:t>
      </w:r>
      <w:r>
        <w:rPr>
          <w:strike/>
        </w:rPr>
        <w:t xml:space="preserve">February</w:t>
      </w:r>
      <w:r>
        <w:t>))</w:t>
      </w:r>
      <w:r>
        <w:rPr/>
        <w:t xml:space="preserve"> </w:t>
      </w:r>
      <w:r>
        <w:rPr>
          <w:u w:val="single"/>
        </w:rPr>
        <w:t xml:space="preserve">March</w:t>
      </w:r>
      <w:r>
        <w:rPr/>
        <w:t xml:space="preserve">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2018 c 109 s 3 are each amended to read as follows:</w:t>
      </w:r>
    </w:p>
    <w:p>
      <w:pPr>
        <w:spacing w:before="0" w:after="0" w:line="408" w:lineRule="exact"/>
        <w:ind w:left="0" w:right="0" w:firstLine="576"/>
        <w:jc w:val="left"/>
      </w:pPr>
      <w:r>
        <w:rPr/>
        <w:t xml:space="preserve">(1) 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t xml:space="preserve">(2) Each year on "Temperance and Good Citizenship Day," social studies teachers must, as resources allow, coordinate a voter registration event in each history or social studies class attended by high school seniors. This event is part of the future voter program. Teachers must make voter sign up and registration available to all students.</w:t>
      </w:r>
    </w:p>
    <w:p>
      <w:pPr>
        <w:spacing w:before="0" w:after="0" w:line="408" w:lineRule="exact"/>
        <w:ind w:left="0" w:right="0" w:firstLine="576"/>
        <w:jc w:val="left"/>
      </w:pPr>
      <w:r>
        <w:rPr/>
        <w:t xml:space="preserve">(3) County auditors may, as resources allow, help coordinate elements of the future voter program, and participate in voter registration events for students on "Temperance and Good Citizenship Day."</w:t>
      </w:r>
    </w:p>
    <w:p>
      <w:pPr>
        <w:spacing w:before="0" w:after="0" w:line="408" w:lineRule="exact"/>
        <w:ind w:left="0" w:right="0" w:firstLine="576"/>
        <w:jc w:val="left"/>
      </w:pPr>
      <w:r>
        <w:rPr/>
        <w:t xml:space="preserve">(4) On each temperance and good citizenship day all students who will be eighteen years of age or older by the time of the next general election will be given the opportunity to register to vote online in the classroom. Paper registration must also be made available in the classroom. Students who do not possess a state identicard or driver's license must be provided a paper registration form. The event must include adequate time for students to complete the registration process in class.</w:t>
      </w:r>
    </w:p>
    <w:p>
      <w:pPr>
        <w:spacing w:before="0" w:after="0" w:line="408" w:lineRule="exact"/>
        <w:ind w:left="0" w:right="0" w:firstLine="576"/>
        <w:jc w:val="left"/>
      </w:pPr>
      <w:r>
        <w:rPr/>
        <w:t xml:space="preserve">(5) The superintendent of public instruction, in consultation with the secretary of state, must update and distribute youth voter registration materials annually, by December 1st, for eligible students to register to vote at school. Electronic notification of the availability of the materials must be distributed to high school principals and secondary social studies and history teachers.</w:t>
      </w:r>
    </w:p>
    <w:p>
      <w:pPr>
        <w:spacing w:before="0" w:after="0" w:line="408" w:lineRule="exact"/>
        <w:ind w:left="0" w:right="0" w:firstLine="576"/>
        <w:jc w:val="left"/>
      </w:pPr>
      <w:r>
        <w:rPr/>
        <w:t xml:space="preserve">(6) The superintendent of public instruction must consult with the secretary of state to provide registration methods that enable the electronic collection of information on the number of students who registered to vote on "Temperance and Good Citizenship Day," with the goal of achieving at least fifty thousand new voter registrations for seventeen and eighteen year olds annually, beginning in January 2020.</w:t>
      </w:r>
    </w:p>
    <w:p>
      <w:pPr>
        <w:spacing w:before="0" w:after="0" w:line="408" w:lineRule="exact"/>
        <w:ind w:left="0" w:right="0" w:firstLine="576"/>
        <w:jc w:val="left"/>
      </w:pPr>
      <w:r>
        <w:rPr/>
        <w:t xml:space="preserve">(7) Beginning March 1, 2020, and annually thereafter </w:t>
      </w:r>
      <w:r>
        <w:rPr>
          <w:u w:val="single"/>
        </w:rPr>
        <w:t xml:space="preserve">by May 1st</w:t>
      </w:r>
      <w:r>
        <w:rPr/>
        <w:t xml:space="preserve">, the superintendent of public instruction must report on yearly progress toward the goal established in subsection </w:t>
      </w:r>
      <w:r>
        <w:t>((</w:t>
      </w:r>
      <w:r>
        <w:rPr>
          <w:strike/>
        </w:rPr>
        <w:t xml:space="preserve">(5)</w:t>
      </w:r>
      <w:r>
        <w:t>))</w:t>
      </w:r>
      <w:r>
        <w:rPr/>
        <w:t xml:space="preserve"> </w:t>
      </w:r>
      <w:r>
        <w:rPr>
          <w:u w:val="single"/>
        </w:rPr>
        <w:t xml:space="preserve">(6)</w:t>
      </w:r>
      <w:r>
        <w:rPr/>
        <w:t xml:space="preserve"> of this section, including the number of </w:t>
      </w:r>
      <w:r>
        <w:t>((</w:t>
      </w:r>
      <w:r>
        <w:rPr>
          <w:strike/>
        </w:rPr>
        <w:t xml:space="preserve">seventeen</w:t>
      </w:r>
      <w:r>
        <w:t>))</w:t>
      </w:r>
      <w:r>
        <w:rPr/>
        <w:t xml:space="preserve"> </w:t>
      </w:r>
      <w:r>
        <w:rPr>
          <w:u w:val="single"/>
        </w:rPr>
        <w:t xml:space="preserve">17</w:t>
      </w:r>
      <w:r>
        <w:rPr/>
        <w:t xml:space="preserve"> and </w:t>
      </w:r>
      <w:r>
        <w:t>((</w:t>
      </w:r>
      <w:r>
        <w:rPr>
          <w:strike/>
        </w:rPr>
        <w:t xml:space="preserve">eighteen</w:t>
      </w:r>
      <w:r>
        <w:t>))</w:t>
      </w:r>
      <w:r>
        <w:rPr/>
        <w:t xml:space="preserve"> </w:t>
      </w:r>
      <w:r>
        <w:rPr>
          <w:u w:val="single"/>
        </w:rPr>
        <w:t xml:space="preserve">18</w:t>
      </w:r>
      <w:r>
        <w:rPr/>
        <w:t xml:space="preserve"> year olds registered to vote by county and recommendations for increasing youth voter registration, to the governor and the appropriate standing committees of the legislature in accordance with RCW 43.01.036.</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"Future voter program" refers to the information that may be collected by a number of processes about a future voter. Information that is otherwise disclosable under chapter 29A.08 RCW cannot be disclosed on the future voter until the person reaches age eighteen, except for the purpose of processing and delivering ballots.</w:t>
      </w:r>
    </w:p>
    <w:p>
      <w:pPr>
        <w:spacing w:before="0" w:after="0" w:line="408" w:lineRule="exact"/>
        <w:ind w:left="0" w:right="0" w:firstLine="576"/>
        <w:jc w:val="left"/>
      </w:pPr>
      <w:r>
        <w:rPr/>
        <w:t xml:space="preserve">(b) "Sign up" means the act of providing information relevant to eventual official voter registration, prior to such time that he or she will be eighteen years of age by the next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476</w:t>
      </w:r>
      <w:r>
        <w:rPr/>
        <w:t xml:space="preserve"> and 2022 c 109 s 2 are each amended to read as follows:</w:t>
      </w:r>
    </w:p>
    <w:p>
      <w:pPr>
        <w:spacing w:before="0" w:after="0" w:line="408" w:lineRule="exact"/>
        <w:ind w:left="0" w:right="0" w:firstLine="576"/>
        <w:jc w:val="left"/>
      </w:pPr>
      <w:r>
        <w:rPr/>
        <w:t xml:space="preserve">(1) By February 1, 2023, and by </w:t>
      </w:r>
      <w:r>
        <w:t>((</w:t>
      </w:r>
      <w:r>
        <w:rPr>
          <w:strike/>
        </w:rPr>
        <w:t xml:space="preserve">February</w:t>
      </w:r>
      <w:r>
        <w:t>))</w:t>
      </w:r>
      <w:r>
        <w:rPr/>
        <w:t xml:space="preserve"> </w:t>
      </w:r>
      <w:r>
        <w:rPr>
          <w:u w:val="single"/>
        </w:rPr>
        <w:t xml:space="preserve">March</w:t>
      </w:r>
      <w:r>
        <w:rPr/>
        <w:t xml:space="preserve"> 1st every odd-numbered year thereafter, the office of the superintendent of public instruction shall submit, in accordance with RCW 43.01.036, to the appropriate committees of the legislature a report analyzing the implementation of RCW 28A.150.260(5)(b), related to physical, social, and emotional support staff.</w:t>
      </w:r>
    </w:p>
    <w:p>
      <w:pPr>
        <w:spacing w:before="0" w:after="0" w:line="408" w:lineRule="exact"/>
        <w:ind w:left="0" w:right="0" w:firstLine="576"/>
        <w:jc w:val="left"/>
      </w:pPr>
      <w:r>
        <w:rPr/>
        <w:t xml:space="preserve">(2) For the analysis, the office of the superintendent of public instruction must use personnel data reported on or around October 1st of the report year and the prior year, and any other relevant data.</w:t>
      </w:r>
    </w:p>
    <w:p>
      <w:pPr>
        <w:spacing w:before="0" w:after="0" w:line="408" w:lineRule="exact"/>
        <w:ind w:left="0" w:right="0" w:firstLine="576"/>
        <w:jc w:val="left"/>
      </w:pPr>
      <w:r>
        <w:rPr/>
        <w:t xml:space="preserve">(3) Except as provided in subsection (4) of this section, the report must:</w:t>
      </w:r>
    </w:p>
    <w:p>
      <w:pPr>
        <w:spacing w:before="0" w:after="0" w:line="408" w:lineRule="exact"/>
        <w:ind w:left="0" w:right="0" w:firstLine="576"/>
        <w:jc w:val="left"/>
      </w:pPr>
      <w:r>
        <w:rPr/>
        <w:t xml:space="preserve">(a) Compare the staffing units provided for nurses, social workers, psychologists, counselors, classified staff providing student and staff safety, and parent involvement coordinators under RCW 28A.150.260(5) to the actual school district staffing levels for physical, social, and emotional support staff, disaggregate by school district; and</w:t>
      </w:r>
    </w:p>
    <w:p>
      <w:pPr>
        <w:spacing w:before="0" w:after="0" w:line="408" w:lineRule="exact"/>
        <w:ind w:left="0" w:right="0" w:firstLine="576"/>
        <w:jc w:val="left"/>
      </w:pPr>
      <w:r>
        <w:rPr/>
        <w:t xml:space="preserve">(b) Analyze trends with respect to: (i) Employed staff and contract staff; and (ii) the percentage of staff with a valid educational staff associate certificate. These trends must be disaggregated by assignment duty code, as well as analyzed year over year and by school district size and geography.</w:t>
      </w:r>
    </w:p>
    <w:p>
      <w:pPr>
        <w:spacing w:before="0" w:after="0" w:line="408" w:lineRule="exact"/>
        <w:ind w:left="0" w:right="0" w:firstLine="576"/>
        <w:jc w:val="left"/>
      </w:pPr>
      <w:r>
        <w:rPr/>
        <w:t xml:space="preserve">(4) For the report due February 1, 2023, the office of the superintendent of public instruction is required to complete the analysis described in subsection (3) of this section only to the extent that relevant data are available.</w:t>
      </w:r>
    </w:p>
    <w:p>
      <w:pPr>
        <w:spacing w:before="0" w:after="0" w:line="408" w:lineRule="exact"/>
        <w:ind w:left="0" w:right="0" w:firstLine="576"/>
        <w:jc w:val="left"/>
      </w:pPr>
      <w:r>
        <w:rPr/>
        <w:t xml:space="preserve">(5) For the purposes of this section, "physical, social, and emotional support staff" or "staff" has the same meaning as in RCW 28A.150.260(5)(b).</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615</w:t>
      </w:r>
      <w:r>
        <w:rPr/>
        <w:t xml:space="preserve"> and 2020 c 8 s 3 are each amended to read as follows:</w:t>
      </w:r>
    </w:p>
    <w:p>
      <w:pPr>
        <w:spacing w:before="0" w:after="0" w:line="408" w:lineRule="exact"/>
        <w:ind w:left="0" w:right="0" w:firstLine="576"/>
        <w:jc w:val="left"/>
      </w:pPr>
      <w:r>
        <w:rPr/>
        <w:t xml:space="preserve">(1) By </w:t>
      </w:r>
      <w:r>
        <w:t>((</w:t>
      </w:r>
      <w:r>
        <w:rPr>
          <w:strike/>
        </w:rPr>
        <w:t xml:space="preserve">October</w:t>
      </w:r>
      <w:r>
        <w:t>))</w:t>
      </w:r>
      <w:r>
        <w:rPr/>
        <w:t xml:space="preserve"> </w:t>
      </w:r>
      <w:r>
        <w:rPr>
          <w:u w:val="single"/>
        </w:rPr>
        <w:t xml:space="preserve">March</w:t>
      </w:r>
      <w:r>
        <w:rPr/>
        <w:t xml:space="preserve"> 1st of each year, a school district must report to the office of the superintendent of public instruction:</w:t>
      </w:r>
    </w:p>
    <w:p>
      <w:pPr>
        <w:spacing w:before="0" w:after="0" w:line="408" w:lineRule="exact"/>
        <w:ind w:left="0" w:right="0" w:firstLine="576"/>
        <w:jc w:val="left"/>
      </w:pPr>
      <w:r>
        <w:rPr/>
        <w:t xml:space="preserve">(a) The number of substitute teachers hired per school year;</w:t>
      </w:r>
    </w:p>
    <w:p>
      <w:pPr>
        <w:spacing w:before="0" w:after="0" w:line="408" w:lineRule="exact"/>
        <w:ind w:left="0" w:right="0" w:firstLine="576"/>
        <w:jc w:val="left"/>
      </w:pPr>
      <w:r>
        <w:rPr/>
        <w:t xml:space="preserve">(b) The number of hours worked by each substitute teacher;</w:t>
      </w:r>
    </w:p>
    <w:p>
      <w:pPr>
        <w:spacing w:before="0" w:after="0" w:line="408" w:lineRule="exact"/>
        <w:ind w:left="0" w:right="0" w:firstLine="576"/>
        <w:jc w:val="left"/>
      </w:pPr>
      <w:r>
        <w:rPr/>
        <w:t xml:space="preserve">(c) The number of substitute teachers that received benefits under the school employees' benefits board;</w:t>
      </w:r>
    </w:p>
    <w:p>
      <w:pPr>
        <w:spacing w:before="0" w:after="0" w:line="408" w:lineRule="exact"/>
        <w:ind w:left="0" w:right="0" w:firstLine="576"/>
        <w:jc w:val="left"/>
      </w:pPr>
      <w:r>
        <w:rPr/>
        <w:t xml:space="preserve">(d) The full daily compensation rate per substitute teacher; and</w:t>
      </w:r>
    </w:p>
    <w:p>
      <w:pPr>
        <w:spacing w:before="0" w:after="0" w:line="408" w:lineRule="exact"/>
        <w:ind w:left="0" w:right="0" w:firstLine="576"/>
        <w:jc w:val="left"/>
      </w:pPr>
      <w:r>
        <w:rPr/>
        <w:t xml:space="preserve">(e) The reason for hiring the substitute teacher.</w:t>
      </w:r>
    </w:p>
    <w:p>
      <w:pPr>
        <w:spacing w:before="0" w:after="0" w:line="408" w:lineRule="exact"/>
        <w:ind w:left="0" w:right="0" w:firstLine="576"/>
        <w:jc w:val="left"/>
      </w:pPr>
      <w:r>
        <w:rPr/>
        <w:t xml:space="preserve">(2) By </w:t>
      </w:r>
      <w:r>
        <w:t>((</w:t>
      </w:r>
      <w:r>
        <w:rPr>
          <w:strike/>
        </w:rPr>
        <w:t xml:space="preserve">January</w:t>
      </w:r>
      <w:r>
        <w:t>))</w:t>
      </w:r>
      <w:r>
        <w:rPr/>
        <w:t xml:space="preserve"> </w:t>
      </w:r>
      <w:r>
        <w:rPr>
          <w:u w:val="single"/>
        </w:rPr>
        <w:t xml:space="preserve">May</w:t>
      </w:r>
      <w:r>
        <w:rPr/>
        <w:t xml:space="preserve"> 1st of each year, the office of the superintendent of public instruction must post on its website the information identified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090</w:t>
      </w:r>
      <w:r>
        <w:rPr/>
        <w:t xml:space="preserve"> and 2019 c 252 s 120 are each amended to read as follows:</w:t>
      </w:r>
    </w:p>
    <w:p>
      <w:pPr>
        <w:spacing w:before="0" w:after="0" w:line="408" w:lineRule="exact"/>
        <w:ind w:left="0" w:right="0" w:firstLine="576"/>
        <w:jc w:val="left"/>
      </w:pPr>
      <w:r>
        <w:rPr/>
        <w:t xml:space="preserve">(1) By September 10, 1998, and by </w:t>
      </w:r>
      <w:r>
        <w:t>((</w:t>
      </w:r>
      <w:r>
        <w:rPr>
          <w:strike/>
        </w:rPr>
        <w:t xml:space="preserve">September 10th</w:t>
      </w:r>
      <w:r>
        <w:t>))</w:t>
      </w:r>
      <w:r>
        <w:rPr/>
        <w:t xml:space="preserve"> </w:t>
      </w:r>
      <w:r>
        <w:rPr>
          <w:u w:val="single"/>
        </w:rPr>
        <w:t xml:space="preserve">October 1st</w:t>
      </w:r>
      <w:r>
        <w:rPr/>
        <w:t xml:space="preserve"> each year thereafter, the superintendent of public instruction shall report to schools, school districts, and the legislature on the results of the statewide student assessment.</w:t>
      </w:r>
    </w:p>
    <w:p>
      <w:pPr>
        <w:spacing w:before="0" w:after="0" w:line="408" w:lineRule="exact"/>
        <w:ind w:left="0" w:right="0" w:firstLine="576"/>
        <w:jc w:val="left"/>
      </w:pPr>
      <w:r>
        <w:rPr/>
        <w:t xml:space="preserve">(2) The reports shall include the assessment results by school and school district, and include changes over time. For the statewide student assessment, results shall be reported as follows:</w:t>
      </w:r>
    </w:p>
    <w:p>
      <w:pPr>
        <w:spacing w:before="0" w:after="0" w:line="408" w:lineRule="exact"/>
        <w:ind w:left="0" w:right="0" w:firstLine="576"/>
        <w:jc w:val="left"/>
      </w:pPr>
      <w:r>
        <w:rPr/>
        <w:t xml:space="preserve">(a) The percentage of students meeting the standards;</w:t>
      </w:r>
    </w:p>
    <w:p>
      <w:pPr>
        <w:spacing w:before="0" w:after="0" w:line="408" w:lineRule="exact"/>
        <w:ind w:left="0" w:right="0" w:firstLine="576"/>
        <w:jc w:val="left"/>
      </w:pPr>
      <w:r>
        <w:rPr/>
        <w:t xml:space="preserve">(b) The percentage of students performing at each level of the assessment;</w:t>
      </w:r>
    </w:p>
    <w:p>
      <w:pPr>
        <w:spacing w:before="0" w:after="0" w:line="408" w:lineRule="exact"/>
        <w:ind w:left="0" w:right="0" w:firstLine="576"/>
        <w:jc w:val="left"/>
      </w:pPr>
      <w:r>
        <w:rPr/>
        <w:t xml:space="preserve">(c) Disaggregation of results by at least the following subgroups of students: White, Black, Hispanic, American Indian/Alaskan Native, Asian, Pacific Islander/Hawaiian Native, low income, transitional bilingual, migrant, special education, and, beginning with the 2009-10 school year, students covered by section 504 of the federal rehabilitation act of 1973, as amended (29 U.S.C. Sec. 794); and</w:t>
      </w:r>
    </w:p>
    <w:p>
      <w:pPr>
        <w:spacing w:before="0" w:after="0" w:line="408" w:lineRule="exact"/>
        <w:ind w:left="0" w:right="0" w:firstLine="576"/>
        <w:jc w:val="left"/>
      </w:pPr>
      <w:r>
        <w:rPr/>
        <w:t xml:space="preserve">(d) A learning improvement </w:t>
      </w:r>
      <w:r>
        <w:t>((</w:t>
      </w:r>
      <w:r>
        <w:rPr>
          <w:strike/>
        </w:rPr>
        <w:t xml:space="preserve">index</w:t>
      </w:r>
      <w:r>
        <w:t>))</w:t>
      </w:r>
      <w:r>
        <w:rPr/>
        <w:t xml:space="preserve"> </w:t>
      </w:r>
      <w:r>
        <w:rPr>
          <w:u w:val="single"/>
        </w:rPr>
        <w:t xml:space="preserve">indicator</w:t>
      </w:r>
      <w:r>
        <w:rPr/>
        <w:t xml:space="preserve"> that shows changes in student performance within the different levels of student learning reported on the statewide student assessment.</w:t>
      </w:r>
    </w:p>
    <w:p>
      <w:pPr>
        <w:spacing w:before="0" w:after="0" w:line="408" w:lineRule="exact"/>
        <w:ind w:left="0" w:right="0" w:firstLine="576"/>
        <w:jc w:val="left"/>
      </w:pPr>
      <w:r>
        <w:rPr/>
        <w:t xml:space="preserve">(3) The reports shall contain data regarding the different characteristics of schools, such as poverty levels, percent of English as a second language students, dropout rates, attendance, percent of students in special education, and student mobility so that districts and schools can learn from the improvement efforts of other schools and districts with similar characteristics.</w:t>
      </w:r>
    </w:p>
    <w:p>
      <w:pPr>
        <w:spacing w:before="0" w:after="0" w:line="408" w:lineRule="exact"/>
        <w:ind w:left="0" w:right="0" w:firstLine="576"/>
        <w:jc w:val="left"/>
      </w:pPr>
      <w:r>
        <w:rPr/>
        <w:t xml:space="preserve">(4) </w:t>
      </w:r>
      <w:r>
        <w:t>((</w:t>
      </w:r>
      <w:r>
        <w:rPr>
          <w:strike/>
        </w:rPr>
        <w:t xml:space="preserve">The reports shall contain student scores on mandated tests by comparable Washington schools of similar characteristics.</w:t>
      </w:r>
    </w:p>
    <w:p>
      <w:pPr>
        <w:spacing w:before="0" w:after="0" w:line="408" w:lineRule="exact"/>
        <w:ind w:left="0" w:right="0" w:firstLine="576"/>
        <w:jc w:val="left"/>
      </w:pPr>
      <w:r>
        <w:rPr>
          <w:strike/>
        </w:rPr>
        <w:t xml:space="preserve">(5)</w:t>
      </w:r>
      <w:r>
        <w:t>))</w:t>
      </w:r>
      <w:r>
        <w:rPr/>
        <w:t xml:space="preserve"> The reports shall contain information on public school choice options available to students, including vocational education.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reports shall be posted on the superintendent of public instruction's internet website.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protect the privacy of students, the results of schools and districts that test fewer than ten students in a grade level shall not be reported. In addition, in order to ensure that results are reported accurately, the superintendent of public instruction shall maintain the confidentiality of statewide data files until the superintendent determines that the data are complete and accurate.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superintendent of public instruction shall monitor the percentage and number of special education and limited English-proficient students exempted from taking the assessments by schools and school districts to ensure the exemptions are in compliance with exemption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260</w:t>
      </w:r>
      <w:r>
        <w:rPr/>
        <w:t xml:space="preserve"> and 2023 c 349 s 3 are each amended to read as follows:</w:t>
      </w:r>
    </w:p>
    <w:p>
      <w:pPr>
        <w:spacing w:before="0" w:after="0" w:line="408" w:lineRule="exact"/>
        <w:ind w:left="0" w:right="0" w:firstLine="576"/>
        <w:jc w:val="left"/>
      </w:pPr>
      <w:r>
        <w:rPr/>
        <w:t xml:space="preserve">(1) The superintendent of public instruction shall collect the following information from school districts: Which of the graduation pathways under RCW 28A.655.250 are available to students at each of the school districts; and the number of students using each graduation pathway for graduation purposes. This information shall be reported </w:t>
      </w:r>
      <w:r>
        <w:t>((</w:t>
      </w:r>
      <w:r>
        <w:rPr>
          <w:strike/>
        </w:rPr>
        <w:t xml:space="preserve">annually</w:t>
      </w:r>
      <w:r>
        <w:t>))</w:t>
      </w:r>
      <w:r>
        <w:rPr/>
        <w:t xml:space="preserve"> to the education committees of the legislature beginning January 10, 2021</w:t>
      </w:r>
      <w:r>
        <w:rPr>
          <w:u w:val="single"/>
        </w:rPr>
        <w:t xml:space="preserve">, and by March 10th each year thereafter</w:t>
      </w:r>
      <w:r>
        <w:rPr/>
        <w:t xml:space="preserve">. To the extent feasible, data on student participation in each of the graduation pathways shall be disaggregated by race, ethnicity, gender, and receipt of free or reduced-price lunch.</w:t>
      </w:r>
    </w:p>
    <w:p>
      <w:pPr>
        <w:spacing w:before="0" w:after="0" w:line="408" w:lineRule="exact"/>
        <w:ind w:left="0" w:right="0" w:firstLine="576"/>
        <w:jc w:val="left"/>
      </w:pPr>
      <w:r>
        <w:rPr/>
        <w:t xml:space="preserve">(2) The state board of education shall review and monitor the implementation of the graduation pathway options to ensure school district compliance with requirements established under RCW 28A.655.250 and subsection (3) of this section. The reviews and monitoring required by this subsection may be conducted concurrently with other oversight and monitoring conducted by the state board of education. The information shall be collected annually and reported to the education committees of the legislature by January 10, 2025, and biennially thereafter.</w:t>
      </w:r>
    </w:p>
    <w:p>
      <w:pPr>
        <w:spacing w:before="0" w:after="0" w:line="408" w:lineRule="exact"/>
        <w:ind w:left="0" w:right="0" w:firstLine="576"/>
        <w:jc w:val="left"/>
      </w:pPr>
      <w:r>
        <w:rPr/>
        <w:t xml:space="preserve">(3)(a) At least annually, school districts shall examine data on student groups participating in and completing each graduation pathway option offered by the school district. At a minimum, the data on graduation pathway participation and completion must be disaggregated by the student groups described in RCW 28A.300.042 (1) and (3), and by:</w:t>
      </w:r>
    </w:p>
    <w:p>
      <w:pPr>
        <w:spacing w:before="0" w:after="0" w:line="408" w:lineRule="exact"/>
        <w:ind w:left="0" w:right="0" w:firstLine="576"/>
        <w:jc w:val="left"/>
      </w:pPr>
      <w:r>
        <w:rPr/>
        <w:t xml:space="preserve">(i) Gender;</w:t>
      </w:r>
    </w:p>
    <w:p>
      <w:pPr>
        <w:spacing w:before="0" w:after="0" w:line="408" w:lineRule="exact"/>
        <w:ind w:left="0" w:right="0" w:firstLine="576"/>
        <w:jc w:val="left"/>
      </w:pPr>
      <w:r>
        <w:rPr/>
        <w:t xml:space="preserve">(ii) Students who are the subject of a dependency proceeding pursuant to chapter 13.34 RCW;</w:t>
      </w:r>
    </w:p>
    <w:p>
      <w:pPr>
        <w:spacing w:before="0" w:after="0" w:line="408" w:lineRule="exact"/>
        <w:ind w:left="0" w:right="0" w:firstLine="576"/>
        <w:jc w:val="left"/>
      </w:pPr>
      <w:r>
        <w:rPr/>
        <w:t xml:space="preserve">(iii) Students who are experiencing homelessness as defined in RCW 28A.300.542</w:t>
      </w:r>
      <w:r>
        <w:t>((</w:t>
      </w:r>
      <w:r>
        <w:rPr>
          <w:strike/>
        </w:rPr>
        <w:t xml:space="preserve">(4)</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(iv) Multilingual/English learners.</w:t>
      </w:r>
    </w:p>
    <w:p>
      <w:pPr>
        <w:spacing w:before="0" w:after="0" w:line="408" w:lineRule="exact"/>
        <w:ind w:left="0" w:right="0" w:firstLine="576"/>
        <w:jc w:val="left"/>
      </w:pPr>
      <w:r>
        <w:rPr/>
        <w:t xml:space="preserve">(b) If the results of the analysis required under (a) of this subsection show disproportionate participation and completion rates by student groups, then the school district shall identify reasons for the observed disproportionality and implement strategies as appropriate to ensure the graduation pathway options are equitably available to all students in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2020 c 26 s 6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Designate sexual assault kits as unreported or reported;</w:t>
      </w:r>
    </w:p>
    <w:p>
      <w:pPr>
        <w:spacing w:before="0" w:after="0" w:line="408" w:lineRule="exact"/>
        <w:ind w:left="0" w:right="0" w:firstLine="576"/>
        <w:jc w:val="left"/>
      </w:pPr>
      <w:r>
        <w:rPr/>
        <w:t xml:space="preserve">(c) Indicate whether a sexual assault kit contains biological materials collected for the purpose of forensic toxicological analysis;</w:t>
      </w:r>
    </w:p>
    <w:p>
      <w:pPr>
        <w:spacing w:before="0" w:after="0" w:line="408" w:lineRule="exact"/>
        <w:ind w:left="0" w:right="0" w:firstLine="576"/>
        <w:jc w:val="left"/>
      </w:pPr>
      <w:r>
        <w:rPr/>
        <w:t xml:space="preserve">(d) Allow medical facilities performing sexual assault forensic examinations, law enforcement agencies, prosecutors, the Washington state patrol bureau of forensic laboratory services, and other entities having custody of sexual assault kits to update and track the status and location of sexual assault kits;</w:t>
      </w:r>
    </w:p>
    <w:p>
      <w:pPr>
        <w:spacing w:before="0" w:after="0" w:line="408" w:lineRule="exact"/>
        <w:ind w:left="0" w:right="0" w:firstLine="576"/>
        <w:jc w:val="left"/>
      </w:pPr>
      <w:r>
        <w:rPr/>
        <w:t xml:space="preserve">(e) Allow victims of sexual assault to anonymously track or receive updates regarding the status of their sexual assault kits; and</w:t>
      </w:r>
    </w:p>
    <w:p>
      <w:pPr>
        <w:spacing w:before="0" w:after="0" w:line="408" w:lineRule="exact"/>
        <w:ind w:left="0" w:right="0" w:firstLine="576"/>
        <w:jc w:val="left"/>
      </w:pPr>
      <w:r>
        <w:rPr/>
        <w:t xml:space="preserve">(f)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having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w:t>
      </w:r>
      <w:r>
        <w:t>((</w:t>
      </w:r>
      <w:r>
        <w:rPr>
          <w:strike/>
        </w:rPr>
        <w:t xml:space="preserve">a semiannual</w:t>
      </w:r>
      <w:r>
        <w:t>))</w:t>
      </w:r>
      <w:r>
        <w:rPr/>
        <w:t xml:space="preserve"> </w:t>
      </w:r>
      <w:r>
        <w:rPr>
          <w:u w:val="single"/>
        </w:rPr>
        <w:t xml:space="preserve">an annual</w:t>
      </w:r>
      <w:r>
        <w:rPr/>
        <w:t xml:space="preserve">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website. The first report is due </w:t>
      </w:r>
      <w:r>
        <w:t>((</w:t>
      </w:r>
      <w:r>
        <w:rPr>
          <w:strike/>
        </w:rPr>
        <w:t xml:space="preserve">July 31, 2018</w:t>
      </w:r>
      <w:r>
        <w:t>))</w:t>
      </w:r>
      <w:r>
        <w:rPr/>
        <w:t xml:space="preserve"> </w:t>
      </w:r>
      <w:r>
        <w:rPr>
          <w:u w:val="single"/>
        </w:rPr>
        <w:t xml:space="preserve">January 31, 2025</w:t>
      </w:r>
      <w:r>
        <w:rPr/>
        <w:t xml:space="preserve">, and subsequent reports are due January 31st </w:t>
      </w:r>
      <w:r>
        <w:t>((</w:t>
      </w:r>
      <w:r>
        <w:rPr>
          <w:strike/>
        </w:rPr>
        <w:t xml:space="preserve">and July 31st</w:t>
      </w:r>
      <w:r>
        <w:t>))</w:t>
      </w:r>
      <w:r>
        <w:rPr/>
        <w:t xml:space="preserve">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having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t xml:space="preserve">(7) The Washington state patrol shall adopt rules as necessary to implement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"Reported sexual assault kit" means a sexual assault kit where a law enforcement agency has received a related report or complaint alleging a sexual assault or other crime has occurred;</w:t>
      </w:r>
    </w:p>
    <w:p>
      <w:pPr>
        <w:spacing w:before="0" w:after="0" w:line="408" w:lineRule="exact"/>
        <w:ind w:left="0" w:right="0" w:firstLine="576"/>
        <w:jc w:val="left"/>
      </w:pPr>
      <w:r>
        <w:rPr/>
        <w:t xml:space="preserve">(b) "Sexual assault kit" includes all evidence collected during a sexual assault medical forensic examination; and</w:t>
      </w:r>
    </w:p>
    <w:p>
      <w:pPr>
        <w:spacing w:before="0" w:after="0" w:line="408" w:lineRule="exact"/>
        <w:ind w:left="0" w:right="0" w:firstLine="576"/>
        <w:jc w:val="left"/>
      </w:pPr>
      <w:r>
        <w:rPr/>
        <w:t xml:space="preserve">(c) "Unreported sexual assault kit" means a sexual assault kit where a law enforcement agency has not received a related report or complaint alleging a sexual assault or other crime has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2018 c 217 s 1 are each amended to read as follows:</w:t>
      </w:r>
    </w:p>
    <w:p>
      <w:pPr>
        <w:spacing w:before="0" w:after="0" w:line="408" w:lineRule="exact"/>
        <w:ind w:left="0" w:right="0" w:firstLine="576"/>
        <w:jc w:val="left"/>
      </w:pPr>
      <w:r>
        <w:rPr/>
        <w:t xml:space="preserve">(1) The department must work with the designated agencies to identify, catalog, and recommend best use of under-utilized, state-owned land and property suitable for the development of affordable housing for very low-income, low-income or moderate-income households. The designated agencies must provide an inventory of real property that is owned or administered by each agency and is vacant or available for lease or sale. The department must work with the designated agencies to include in the inventories a consolidated list of any property transactions executed by the agencies under the authority of RCW 39.33.015, including the property appraisal, the terms and conditions of sale, lease, or transfer, the value of the public benefit, and the impact of transaction to the agency. The inventories with revisions must be provided to the department by November 1st of each year.</w:t>
      </w:r>
    </w:p>
    <w:p>
      <w:pPr>
        <w:spacing w:before="0" w:after="0" w:line="408" w:lineRule="exact"/>
        <w:ind w:left="0" w:right="0" w:firstLine="576"/>
        <w:jc w:val="left"/>
      </w:pPr>
      <w:r>
        <w:rPr/>
        <w:t xml:space="preserve">(2) 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w:t>
      </w:r>
      <w:r>
        <w:t>((</w:t>
      </w:r>
      <w:r>
        <w:rPr>
          <w:strike/>
        </w:rPr>
        <w:t xml:space="preserve">to the office of financial management and appropriate policy and fiscal committees of the legislature</w:t>
      </w:r>
      <w:r>
        <w:t>))</w:t>
      </w:r>
      <w:r>
        <w:rPr/>
        <w:t xml:space="preserve"> </w:t>
      </w:r>
      <w:r>
        <w:rPr>
          <w:u w:val="single"/>
        </w:rPr>
        <w:t xml:space="preserve">by posting the information on the department's website</w:t>
      </w:r>
      <w:r>
        <w:rPr/>
        <w:t xml:space="preserve"> by December 1st of each year.</w:t>
      </w:r>
    </w:p>
    <w:p>
      <w:pPr>
        <w:spacing w:before="0" w:after="0" w:line="408" w:lineRule="exact"/>
        <w:ind w:left="0" w:right="0" w:firstLine="576"/>
        <w:jc w:val="left"/>
      </w:pPr>
      <w:r>
        <w:rPr/>
        <w:t xml:space="preserve">(3)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t xml:space="preserve">(i) Receiving the property within one hundred eighty days; and</w:t>
      </w:r>
    </w:p>
    <w:p>
      <w:pPr>
        <w:spacing w:before="0" w:after="0" w:line="408" w:lineRule="exact"/>
        <w:ind w:left="0" w:right="0" w:firstLine="576"/>
        <w:jc w:val="left"/>
      </w:pPr>
      <w:r>
        <w:rPr/>
        <w:t xml:space="preserve">(ii) Creating affordable housing units for occupancy within thirty-six months from the time of transfer.</w:t>
      </w:r>
    </w:p>
    <w:p>
      <w:pPr>
        <w:spacing w:before="0" w:after="0" w:line="408" w:lineRule="exact"/>
        <w:ind w:left="0" w:right="0" w:firstLine="576"/>
        <w:jc w:val="left"/>
      </w:pPr>
      <w:r>
        <w:rPr/>
        <w:t xml:space="preserve">(f) "Designated agencies" means the Washington state patrol, the state parks and recreation commission, and the departments of natural resources, social and health services, corrections, and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100</w:t>
      </w:r>
      <w:r>
        <w:rPr/>
        <w:t xml:space="preserve"> and 2013 c 121 s 7 are each amended to read as follows:</w:t>
      </w:r>
    </w:p>
    <w:p>
      <w:pPr>
        <w:spacing w:before="0" w:after="0" w:line="408" w:lineRule="exact"/>
        <w:ind w:left="0" w:right="0" w:firstLine="576"/>
        <w:jc w:val="left"/>
      </w:pPr>
      <w:r>
        <w:rPr/>
        <w:t xml:space="preserve">(1) The department of commerce shall </w:t>
      </w:r>
      <w:r>
        <w:rPr>
          <w:u w:val="single"/>
        </w:rPr>
        <w:t xml:space="preserve">annually</w:t>
      </w:r>
      <w:r>
        <w:rPr/>
        <w:t xml:space="preserve"> prepare and </w:t>
      </w:r>
      <w:r>
        <w:t>((</w:t>
      </w:r>
      <w:r>
        <w:rPr>
          <w:strike/>
        </w:rPr>
        <w:t xml:space="preserve">submit an annual report to the legislature</w:t>
      </w:r>
      <w:r>
        <w:t>))</w:t>
      </w:r>
      <w:r>
        <w:rPr/>
        <w:t xml:space="preserve"> </w:t>
      </w:r>
      <w:r>
        <w:rPr>
          <w:u w:val="single"/>
        </w:rPr>
        <w:t xml:space="preserve">post,</w:t>
      </w:r>
      <w:r>
        <w:rPr/>
        <w:t xml:space="preserve"> on </w:t>
      </w:r>
      <w:r>
        <w:rPr>
          <w:u w:val="single"/>
        </w:rPr>
        <w:t xml:space="preserve">the department's website,</w:t>
      </w:r>
      <w:r>
        <w:rPr/>
        <w:t xml:space="preserve"> the amount of revenue collected by local jurisdictions under RCW 9.68A.105, 9A.88.120, or 9A.88.140 and the expenditure of that revenue.</w:t>
      </w:r>
    </w:p>
    <w:p>
      <w:pPr>
        <w:spacing w:before="0" w:after="0" w:line="408" w:lineRule="exact"/>
        <w:ind w:left="0" w:right="0" w:firstLine="576"/>
        <w:jc w:val="left"/>
      </w:pPr>
      <w:r>
        <w:rPr/>
        <w:t xml:space="preserve">(2) Any funds remitted to the department of commerce pursuant to RCW 9.68A.105, 9A.88.120, or 9A.88.140 shall be spent on the fulfillment of the duties described in subsection (1) of this section. Any remaining funds may be spent on the administration of grants for services for victims of the commercial sex trade,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2021 c 280 s 3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 carrier from appropriately utilizing reasonable medical management techniques.</w:t>
      </w:r>
    </w:p>
    <w:p>
      <w:pPr>
        <w:spacing w:before="0" w:after="0" w:line="408" w:lineRule="exact"/>
        <w:ind w:left="0" w:right="0" w:firstLine="576"/>
        <w:jc w:val="left"/>
      </w:pPr>
      <w:r>
        <w:rPr/>
        <w:t xml:space="preserve">(3) For health plans issued or renewed on or after January 1, 2022:</w:t>
      </w:r>
    </w:p>
    <w:p>
      <w:pPr>
        <w:spacing w:before="0" w:after="0" w:line="408" w:lineRule="exact"/>
        <w:ind w:left="0" w:right="0" w:firstLine="576"/>
        <w:jc w:val="left"/>
      </w:pPr>
      <w:r>
        <w:rPr/>
        <w:t xml:space="preserve">(a) A health carrier may not deny or limit coverage for gender-affirming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t xml:space="preserve">(b) A health carrier may not apply categorical cosmetic or blanket exclusions to gender-affirming treatment. When prescribed as medically necessary gender-affirming treatment, a health carrier may not exclude as cosmetic services facial feminization surgeries and other facial gender-affirming treatment, such as tracheal shaves, hair electrolysis, and other care such as mastectomies, breast reductions, breast implants, or any combination of gender-affirming procedures, including revisions to prior treatment.</w:t>
      </w:r>
    </w:p>
    <w:p>
      <w:pPr>
        <w:spacing w:before="0" w:after="0" w:line="408" w:lineRule="exact"/>
        <w:ind w:left="0" w:right="0" w:firstLine="576"/>
        <w:jc w:val="left"/>
      </w:pPr>
      <w:r>
        <w:rPr/>
        <w:t xml:space="preserve">(c) A health carrier may not issue an adverse benefit determination denying or limiting access to gender-affirming services, unless a health care provider with experience prescribing or delivering gender-affirming treatment has reviewed and confirmed the appropriateness of the adverse benefit determination.</w:t>
      </w:r>
    </w:p>
    <w:p>
      <w:pPr>
        <w:spacing w:before="0" w:after="0" w:line="408" w:lineRule="exact"/>
        <w:ind w:left="0" w:right="0" w:firstLine="576"/>
        <w:jc w:val="left"/>
      </w:pPr>
      <w:r>
        <w:rPr/>
        <w:t xml:space="preserve">(d) Health carriers must comply with all network access rules and requirements established by the commissioner.</w:t>
      </w:r>
    </w:p>
    <w:p>
      <w:pPr>
        <w:spacing w:before="0" w:after="0" w:line="408" w:lineRule="exact"/>
        <w:ind w:left="0" w:right="0" w:firstLine="576"/>
        <w:jc w:val="left"/>
      </w:pPr>
      <w:r>
        <w:rPr/>
        <w:t xml:space="preserve">(4) For the purposes of this section, "gender-affirming treatment" means a service or product that a health care provider, as defined in RCW 70.02.010, prescribes to an individual to treat any condition related to the individual's gender identity and is prescribed in accordance with generally accepted standards of care. Gender-affirming treatment must be covered in a manner compliant with the federal mental health parity and addiction equity act of 2008 and the federal affordable care act. Gender-affirming treatment can be prescribed to two spirit, transgender, nonbinary, intersex, and other gender diverse individuals.</w:t>
      </w:r>
    </w:p>
    <w:p>
      <w:pPr>
        <w:spacing w:before="0" w:after="0" w:line="408" w:lineRule="exact"/>
        <w:ind w:left="0" w:right="0" w:firstLine="576"/>
        <w:jc w:val="left"/>
      </w:pPr>
      <w:r>
        <w:rPr/>
        <w:t xml:space="preserve">(5) Nothing in this section may be construed to mandate coverage of a service that is not medically necessary.</w:t>
      </w:r>
    </w:p>
    <w:p>
      <w:pPr>
        <w:spacing w:before="0" w:after="0" w:line="408" w:lineRule="exact"/>
        <w:ind w:left="0" w:right="0" w:firstLine="576"/>
        <w:jc w:val="left"/>
      </w:pPr>
      <w:r>
        <w:rPr/>
        <w:t xml:space="preserve">(6) By December 1, 2022, the commissioner, in consultation with the health care authority and the department of health, must issue a report on geographic access to gender-affirming treatment across the state. The report must include the number of gender-affirming providers offering care in each county, the carriers and medicaid managed care organizations those providers have active contracts with, and the types of services provided by each provider in each region. The commissioner must update the report </w:t>
      </w:r>
      <w:r>
        <w:t>((</w:t>
      </w:r>
      <w:r>
        <w:rPr>
          <w:strike/>
        </w:rPr>
        <w:t xml:space="preserve">biannually</w:t>
      </w:r>
      <w:r>
        <w:t>))</w:t>
      </w:r>
      <w:r>
        <w:rPr/>
        <w:t xml:space="preserve"> </w:t>
      </w:r>
      <w:r>
        <w:rPr>
          <w:u w:val="single"/>
        </w:rPr>
        <w:t xml:space="preserve">biennially</w:t>
      </w:r>
      <w:r>
        <w:rPr/>
        <w:t xml:space="preserve"> and post the report on its website.</w:t>
      </w:r>
    </w:p>
    <w:p>
      <w:pPr>
        <w:spacing w:before="0" w:after="0" w:line="408" w:lineRule="exact"/>
        <w:ind w:left="0" w:right="0" w:firstLine="576"/>
        <w:jc w:val="left"/>
      </w:pPr>
      <w:r>
        <w:rPr/>
        <w:t xml:space="preserve">(7) The commissioner shall adopt any rules necessary to implement subsections (3), (4), and (5) of this section.</w:t>
      </w:r>
    </w:p>
    <w:p>
      <w:pPr>
        <w:spacing w:before="0" w:after="0" w:line="408" w:lineRule="exact"/>
        <w:ind w:left="0" w:right="0" w:firstLine="576"/>
        <w:jc w:val="left"/>
      </w:pPr>
      <w:r>
        <w:rPr/>
        <w:t xml:space="preserve">(8) Unless preempted by federal law, the commissioner shall adopt any rules necessary to implement subsections (1) and (2) of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2023 c 206 s 5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10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23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20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30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90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70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30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60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10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$400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30 calendar days from receipt of the department's letter referring the parties to mediation or pursuant to the mediator's instructions.</w:t>
      </w:r>
    </w:p>
    <w:p>
      <w:pPr>
        <w:spacing w:before="0" w:after="0" w:line="408" w:lineRule="exact"/>
        <w:ind w:left="0" w:right="0" w:firstLine="576"/>
        <w:jc w:val="left"/>
      </w:pPr>
      <w:r>
        <w:rPr/>
        <w:t xml:space="preserve">(18) </w:t>
      </w:r>
      <w:r>
        <w:t>((</w:t>
      </w:r>
      <w:r>
        <w:rPr>
          <w:strike/>
        </w:rPr>
        <w:t xml:space="preserve">Beginning December 1, 2012, and every year thereafter, the</w:t>
      </w:r>
      <w:r>
        <w:t>))</w:t>
      </w:r>
      <w:r>
        <w:rPr/>
        <w:t xml:space="preserve"> </w:t>
      </w:r>
      <w:r>
        <w:rPr>
          <w:u w:val="single"/>
        </w:rPr>
        <w:t xml:space="preserve">The</w:t>
      </w:r>
      <w:r>
        <w:rPr/>
        <w:t xml:space="preserve"> department shall report annually </w:t>
      </w:r>
      <w:r>
        <w:t>((</w:t>
      </w:r>
      <w:r>
        <w:rPr>
          <w:strike/>
        </w:rPr>
        <w:t xml:space="preserve">to the legislature on</w:t>
      </w:r>
      <w:r>
        <w:t>))</w:t>
      </w:r>
      <w:r>
        <w:rPr/>
        <w:t xml:space="preserve"> </w:t>
      </w:r>
      <w:r>
        <w:rPr>
          <w:u w:val="single"/>
        </w:rPr>
        <w:t xml:space="preserve">by posting the following information on the department's website</w:t>
      </w:r>
      <w:r>
        <w:rPr/>
        <w:t xml:space="preserve">:</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0" w:after="0" w:line="408" w:lineRule="exact"/>
        <w:ind w:left="0" w:right="0" w:firstLine="576"/>
        <w:jc w:val="left"/>
      </w:pPr>
      <w:r>
        <w:rPr/>
        <w:t xml:space="preserve">(19) This section does not apply to certain federally insured depository institutions, as specified in RCW 61.24.166.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420</w:t>
      </w:r>
      <w:r>
        <w:rPr/>
        <w:t xml:space="preserve">.</w:t>
      </w:r>
      <w:r>
        <w:t xml:space="preserve">050</w:t>
      </w:r>
      <w:r>
        <w:rPr/>
        <w:t xml:space="preserve"> and 2020 c 20 s 1274 are each amended to read as follows:</w:t>
      </w:r>
    </w:p>
    <w:p>
      <w:pPr>
        <w:spacing w:before="0" w:after="0" w:line="408" w:lineRule="exact"/>
        <w:ind w:left="0" w:right="0" w:firstLine="576"/>
        <w:jc w:val="left"/>
      </w:pPr>
      <w:r>
        <w:rPr/>
        <w:t xml:space="preserve">The department shall adopt rules to:</w:t>
      </w:r>
    </w:p>
    <w:p>
      <w:pPr>
        <w:spacing w:before="0" w:after="0" w:line="408" w:lineRule="exact"/>
        <w:ind w:left="0" w:right="0" w:firstLine="576"/>
        <w:jc w:val="left"/>
      </w:pPr>
      <w:r>
        <w:rPr/>
        <w:t xml:space="preserve">(1) Establish procedures and requirements for the accreditation of lead-based paint activities training programs including, but not limited to, the following:</w:t>
      </w:r>
    </w:p>
    <w:p>
      <w:pPr>
        <w:spacing w:before="0" w:after="0" w:line="408" w:lineRule="exact"/>
        <w:ind w:left="0" w:right="0" w:firstLine="576"/>
        <w:jc w:val="left"/>
      </w:pPr>
      <w:r>
        <w:rPr/>
        <w:t xml:space="preserve">(a) Training curriculum;</w:t>
      </w:r>
    </w:p>
    <w:p>
      <w:pPr>
        <w:spacing w:before="0" w:after="0" w:line="408" w:lineRule="exact"/>
        <w:ind w:left="0" w:right="0" w:firstLine="576"/>
        <w:jc w:val="left"/>
      </w:pPr>
      <w:r>
        <w:rPr/>
        <w:t xml:space="preserve">(b) Training hours;</w:t>
      </w:r>
    </w:p>
    <w:p>
      <w:pPr>
        <w:spacing w:before="0" w:after="0" w:line="408" w:lineRule="exact"/>
        <w:ind w:left="0" w:right="0" w:firstLine="576"/>
        <w:jc w:val="left"/>
      </w:pPr>
      <w:r>
        <w:rPr/>
        <w:t xml:space="preserve">(c) Hands-on training;</w:t>
      </w:r>
    </w:p>
    <w:p>
      <w:pPr>
        <w:spacing w:before="0" w:after="0" w:line="408" w:lineRule="exact"/>
        <w:ind w:left="0" w:right="0" w:firstLine="576"/>
        <w:jc w:val="left"/>
      </w:pPr>
      <w:r>
        <w:rPr/>
        <w:t xml:space="preserve">(d) Trainee competency and proficiency;</w:t>
      </w:r>
    </w:p>
    <w:p>
      <w:pPr>
        <w:spacing w:before="0" w:after="0" w:line="408" w:lineRule="exact"/>
        <w:ind w:left="0" w:right="0" w:firstLine="576"/>
        <w:jc w:val="left"/>
      </w:pPr>
      <w:r>
        <w:rPr/>
        <w:t xml:space="preserve">(e) Training program quality control;</w:t>
      </w:r>
    </w:p>
    <w:p>
      <w:pPr>
        <w:spacing w:before="0" w:after="0" w:line="408" w:lineRule="exact"/>
        <w:ind w:left="0" w:right="0" w:firstLine="576"/>
        <w:jc w:val="left"/>
      </w:pPr>
      <w:r>
        <w:rPr/>
        <w:t xml:space="preserve">(f) Procedures for the reaccreditation of training programs;</w:t>
      </w:r>
    </w:p>
    <w:p>
      <w:pPr>
        <w:spacing w:before="0" w:after="0" w:line="408" w:lineRule="exact"/>
        <w:ind w:left="0" w:right="0" w:firstLine="576"/>
        <w:jc w:val="left"/>
      </w:pPr>
      <w:r>
        <w:rPr/>
        <w:t xml:space="preserve">(g) Procedures for the oversight of training programs; and</w:t>
      </w:r>
    </w:p>
    <w:p>
      <w:pPr>
        <w:spacing w:before="0" w:after="0" w:line="408" w:lineRule="exact"/>
        <w:ind w:left="0" w:right="0" w:firstLine="576"/>
        <w:jc w:val="left"/>
      </w:pPr>
      <w:r>
        <w:rPr/>
        <w:t xml:space="preserve">(h) Procedures for the suspension, revocation, or modification of training program accreditations, or acceptance of training offered by an accredited training provider in another state or Indian tribe authorized by the environmental protection agency;</w:t>
      </w:r>
    </w:p>
    <w:p>
      <w:pPr>
        <w:spacing w:before="0" w:after="0" w:line="408" w:lineRule="exact"/>
        <w:ind w:left="0" w:right="0" w:firstLine="576"/>
        <w:jc w:val="left"/>
      </w:pPr>
      <w:r>
        <w:rPr/>
        <w:t xml:space="preserve">(2) Establish procedures for the purposes of certification, for the acceptance of training offered by an accredited training provider in a state or Indian tribe authorized by the environmental protection agency;</w:t>
      </w:r>
    </w:p>
    <w:p>
      <w:pPr>
        <w:spacing w:before="0" w:after="0" w:line="408" w:lineRule="exact"/>
        <w:ind w:left="0" w:right="0" w:firstLine="576"/>
        <w:jc w:val="left"/>
      </w:pPr>
      <w:r>
        <w:rPr/>
        <w:t xml:space="preserve">(3) Certify individuals involved in lead-based paint activities to ensure that certified individuals are trained by an accredited training program and possess appropriate educational or experience qualifications for certification;</w:t>
      </w:r>
    </w:p>
    <w:p>
      <w:pPr>
        <w:spacing w:before="0" w:after="0" w:line="408" w:lineRule="exact"/>
        <w:ind w:left="0" w:right="0" w:firstLine="576"/>
        <w:jc w:val="left"/>
      </w:pPr>
      <w:r>
        <w:rPr/>
        <w:t xml:space="preserve">(4) Establish procedures for recertification;</w:t>
      </w:r>
    </w:p>
    <w:p>
      <w:pPr>
        <w:spacing w:before="0" w:after="0" w:line="408" w:lineRule="exact"/>
        <w:ind w:left="0" w:right="0" w:firstLine="576"/>
        <w:jc w:val="left"/>
      </w:pPr>
      <w:r>
        <w:rPr/>
        <w:t xml:space="preserve">(5) Require the conduct of lead-based paint activities in accordance with work practice standards;</w:t>
      </w:r>
    </w:p>
    <w:p>
      <w:pPr>
        <w:spacing w:before="0" w:after="0" w:line="408" w:lineRule="exact"/>
        <w:ind w:left="0" w:right="0" w:firstLine="576"/>
        <w:jc w:val="left"/>
      </w:pPr>
      <w:r>
        <w:rPr/>
        <w:t xml:space="preserve">(6) Establish procedures for the suspension, revocation, or modification of certifications;</w:t>
      </w:r>
    </w:p>
    <w:p>
      <w:pPr>
        <w:spacing w:before="0" w:after="0" w:line="408" w:lineRule="exact"/>
        <w:ind w:left="0" w:right="0" w:firstLine="576"/>
        <w:jc w:val="left"/>
      </w:pPr>
      <w:r>
        <w:rPr/>
        <w:t xml:space="preserve">(7) Establish requirements for the administration of third-party certification exams;</w:t>
      </w:r>
    </w:p>
    <w:p>
      <w:pPr>
        <w:spacing w:before="0" w:after="0" w:line="408" w:lineRule="exact"/>
        <w:ind w:left="0" w:right="0" w:firstLine="576"/>
        <w:jc w:val="left"/>
      </w:pPr>
      <w:r>
        <w:rPr/>
        <w:t xml:space="preserve">(8) Use laboratories accredited under the environmental protection agency's national lead laboratory accreditation program;</w:t>
      </w:r>
    </w:p>
    <w:p>
      <w:pPr>
        <w:spacing w:before="0" w:after="0" w:line="408" w:lineRule="exact"/>
        <w:ind w:left="0" w:right="0" w:firstLine="576"/>
        <w:jc w:val="left"/>
      </w:pPr>
      <w:r>
        <w:rPr/>
        <w:t xml:space="preserve">(9) Establish work practice standards for the conduct of lead-based paint activities, as defined in RCW 70A.420.020;</w:t>
      </w:r>
    </w:p>
    <w:p>
      <w:pPr>
        <w:spacing w:before="0" w:after="0" w:line="408" w:lineRule="exact"/>
        <w:ind w:left="0" w:right="0" w:firstLine="576"/>
        <w:jc w:val="left"/>
      </w:pPr>
      <w:r>
        <w:rPr/>
        <w:t xml:space="preserve">(10) Establish an enforcement response policy that shall include:</w:t>
      </w:r>
    </w:p>
    <w:p>
      <w:pPr>
        <w:spacing w:before="0" w:after="0" w:line="408" w:lineRule="exact"/>
        <w:ind w:left="0" w:right="0" w:firstLine="576"/>
        <w:jc w:val="left"/>
      </w:pPr>
      <w:r>
        <w:rPr/>
        <w:t xml:space="preserve">(a) Warning letters, notices of noncompliance, notices of violation, or the equivalent;</w:t>
      </w:r>
    </w:p>
    <w:p>
      <w:pPr>
        <w:spacing w:before="0" w:after="0" w:line="408" w:lineRule="exact"/>
        <w:ind w:left="0" w:right="0" w:firstLine="576"/>
        <w:jc w:val="left"/>
      </w:pPr>
      <w:r>
        <w:rPr/>
        <w:t xml:space="preserve">(b) Administrative or civil actions, including penalty authority, including accreditation or certification suspension, revocation, or modification; and</w:t>
      </w:r>
    </w:p>
    <w:p>
      <w:pPr>
        <w:spacing w:before="0" w:after="0" w:line="408" w:lineRule="exact"/>
        <w:ind w:left="0" w:right="0" w:firstLine="576"/>
        <w:jc w:val="left"/>
      </w:pPr>
      <w:r>
        <w:rPr/>
        <w:t xml:space="preserve">(c) Authority to apply criminal sanctions or other criminal authority using existing state laws as applicable.</w:t>
      </w:r>
    </w:p>
    <w:p>
      <w:pPr>
        <w:spacing w:before="0" w:after="0" w:line="408" w:lineRule="exact"/>
        <w:ind w:left="0" w:right="0" w:firstLine="576"/>
        <w:jc w:val="left"/>
      </w:pPr>
      <w:r>
        <w:rPr/>
        <w:t xml:space="preserve">The department shall prepare and </w:t>
      </w:r>
      <w:r>
        <w:t>((</w:t>
      </w:r>
      <w:r>
        <w:rPr>
          <w:strike/>
        </w:rPr>
        <w:t xml:space="preserve">submit</w:t>
      </w:r>
      <w:r>
        <w:t>))</w:t>
      </w:r>
      <w:r>
        <w:rPr/>
        <w:t xml:space="preserve"> </w:t>
      </w:r>
      <w:r>
        <w:rPr>
          <w:u w:val="single"/>
        </w:rPr>
        <w:t xml:space="preserve">post on the department's website, on</w:t>
      </w:r>
      <w:r>
        <w:rPr/>
        <w:t xml:space="preserve"> a biennial </w:t>
      </w:r>
      <w:r>
        <w:t>((</w:t>
      </w:r>
      <w:r>
        <w:rPr>
          <w:strike/>
        </w:rPr>
        <w:t xml:space="preserve">report to the legislature regarding</w:t>
      </w:r>
      <w:r>
        <w:t>))</w:t>
      </w:r>
      <w:r>
        <w:rPr/>
        <w:t xml:space="preserve"> </w:t>
      </w:r>
      <w:r>
        <w:rPr>
          <w:u w:val="single"/>
        </w:rPr>
        <w:t xml:space="preserve">basis,</w:t>
      </w:r>
      <w:r>
        <w:rPr/>
        <w:t xml:space="preserve"> the program's status, its costs, and the number of persons certified by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620</w:t>
      </w:r>
      <w:r>
        <w:rPr/>
        <w:t xml:space="preserve"> and 1999 c 324 s 7 are each amended to read as follows:</w:t>
      </w:r>
    </w:p>
    <w:p>
      <w:pPr>
        <w:spacing w:before="0" w:after="0" w:line="408" w:lineRule="exact"/>
        <w:ind w:left="0" w:right="0" w:firstLine="576"/>
        <w:jc w:val="left"/>
      </w:pPr>
      <w:r>
        <w:rPr/>
        <w:t xml:space="preserve">The secretary shall </w:t>
      </w:r>
      <w:r>
        <w:t>((</w:t>
      </w:r>
      <w:r>
        <w:rPr>
          <w:strike/>
        </w:rPr>
        <w:t xml:space="preserve">report</w:t>
      </w:r>
      <w:r>
        <w:t>))</w:t>
      </w:r>
      <w:r>
        <w:rPr/>
        <w:t xml:space="preserve"> annually </w:t>
      </w:r>
      <w:r>
        <w:t>((</w:t>
      </w:r>
      <w:r>
        <w:rPr>
          <w:strike/>
        </w:rPr>
        <w:t xml:space="preserve">to the legislature</w:t>
      </w:r>
      <w:r>
        <w:t>))</w:t>
      </w:r>
      <w:r>
        <w:rPr/>
        <w:t xml:space="preserve"> </w:t>
      </w:r>
      <w:r>
        <w:rPr>
          <w:u w:val="single"/>
        </w:rPr>
        <w:t xml:space="preserve">post on the department's website</w:t>
      </w:r>
      <w:r>
        <w:rPr/>
        <w:t xml:space="preserve"> on the number of offenders considered for an extraordinary medical placement, the number of offenders who were granted such a placement, the number of offenders who were denied such a placement, the length of time between initial consideration and the placement decision for each offender who was granted an extraordinary medical placement, the number of offenders granted an extraordinary medical placement who were later returned to total confinement, and the cost savings realized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090</w:t>
      </w:r>
      <w:r>
        <w:rPr/>
        <w:t xml:space="preserve"> and 2014 c 202 s 111 are each amended to read as follows:</w:t>
      </w:r>
    </w:p>
    <w:p>
      <w:pPr>
        <w:spacing w:before="0" w:after="0" w:line="408" w:lineRule="exact"/>
        <w:ind w:left="0" w:right="0" w:firstLine="576"/>
        <w:jc w:val="left"/>
      </w:pPr>
      <w:r>
        <w:rPr/>
        <w:t xml:space="preserve">(1) If the director finds that there exists an imminent danger of a prohibited level 1 or level 2 species detection that seriously endangers or threatens the environment, economy, human health, or well-being of the state of Washington, the director must ask the governor to order, under RCW 43.06.010(14), emergency measures to prevent or abate the prohibited species. The director's findings must contain an evaluation of the effect of the emergency measures on environmental factors such as fish listed under the endangered species act, economic factors such as public and private access, human health factors such as water quality, or well-being factors such as cultural resources.</w:t>
      </w:r>
    </w:p>
    <w:p>
      <w:pPr>
        <w:spacing w:before="0" w:after="0" w:line="408" w:lineRule="exact"/>
        <w:ind w:left="0" w:right="0" w:firstLine="576"/>
        <w:jc w:val="left"/>
      </w:pPr>
      <w:r>
        <w:rPr/>
        <w:t xml:space="preserve">(2) If an emergency is declared pursuant to RCW 43.06.010(14), the director may consult with the invasive species council to advise the governor on emergency measures necessary under RCW 43.06.010(14) and this section, and make subsequent recommendations to the governor. The invasive species council must involve owners of the affected water body or property, state and local governments, federal agencies, tribes, public health interests, technical service providers, and environmental organizations, as appropriate.</w:t>
      </w:r>
    </w:p>
    <w:p>
      <w:pPr>
        <w:spacing w:before="0" w:after="0" w:line="408" w:lineRule="exact"/>
        <w:ind w:left="0" w:right="0" w:firstLine="576"/>
        <w:jc w:val="left"/>
      </w:pPr>
      <w:r>
        <w:rPr/>
        <w:t xml:space="preserve">(3) Upon the governor's approval of emergency measures, the director may implement these measures to prevent, contain, control, or eradicate invasive species that are the subject of the emergency order, notwithstanding the provisions of chapter 15.58 or 17.21 RCW or any other statute. These measures, after evaluation of all other alternatives, may include the surface and aerial application of pesticides.</w:t>
      </w:r>
    </w:p>
    <w:p>
      <w:pPr>
        <w:spacing w:before="0" w:after="0" w:line="408" w:lineRule="exact"/>
        <w:ind w:left="0" w:right="0" w:firstLine="576"/>
        <w:jc w:val="left"/>
      </w:pPr>
      <w:r>
        <w:rPr/>
        <w:t xml:space="preserve">(4) The director must continually evaluate the effects of the emergency measures and report these to the governor at </w:t>
      </w:r>
      <w:r>
        <w:t>((</w:t>
      </w:r>
      <w:r>
        <w:rPr>
          <w:strike/>
        </w:rPr>
        <w:t xml:space="preserve">intervals of not less than</w:t>
      </w:r>
      <w:r>
        <w:t>))</w:t>
      </w:r>
      <w:r>
        <w:rPr/>
        <w:t xml:space="preserve"> </w:t>
      </w:r>
      <w:r>
        <w:rPr>
          <w:u w:val="single"/>
        </w:rPr>
        <w:t xml:space="preserve">least every</w:t>
      </w:r>
      <w:r>
        <w:rPr/>
        <w:t xml:space="preserve"> ten days</w:t>
      </w:r>
      <w:r>
        <w:rPr>
          <w:u w:val="single"/>
        </w:rPr>
        <w:t xml:space="preserve">, except for those measures taken in response to emergency proclamation 22-02, green crab infestation. The director must report the effects of the emergency measures taken in response to emergency proclamation 22-02, green crab infestation, to the governor at least monthly</w:t>
      </w:r>
      <w:r>
        <w:rPr/>
        <w:t xml:space="preserve">. The director must immediately advise the governor if the director finds that the emergency no longer exists or if certain emergency measures should be discontinued.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095</w:t>
      </w:r>
      <w:r>
        <w:rPr/>
        <w:t xml:space="preserve"> and 2011 c 185 s 5 are each amended to read as follows:</w:t>
      </w:r>
    </w:p>
    <w:p>
      <w:pPr>
        <w:spacing w:before="0" w:after="0" w:line="408" w:lineRule="exact"/>
        <w:ind w:left="0" w:right="0" w:firstLine="576"/>
        <w:jc w:val="left"/>
      </w:pPr>
      <w:r>
        <w:rPr/>
        <w:t xml:space="preserve">(1) By the end of the 2008-09 school year, school districts shall have in place in elementary schools, middle schools, and high schools assessments or other strategies chosen by the district to assure that students have an opportunity to learn the </w:t>
      </w:r>
      <w:r>
        <w:t>((</w:t>
      </w:r>
      <w:r>
        <w:rPr>
          <w:strike/>
        </w:rPr>
        <w:t xml:space="preserve">essential academic learning requirements</w:t>
      </w:r>
      <w:r>
        <w:t>))</w:t>
      </w:r>
      <w:r>
        <w:rPr/>
        <w:t xml:space="preserve"> </w:t>
      </w:r>
      <w:r>
        <w:rPr>
          <w:u w:val="single"/>
        </w:rPr>
        <w:t xml:space="preserve">state learning standards</w:t>
      </w:r>
      <w:r>
        <w:rPr/>
        <w:t xml:space="preserve"> in social studies, the arts, and health and fitness. Social studies includes history, geography, civics, economics, and social studies skills. Health and fitness includes, but is not limited to, mental health and suicide prevention education. </w:t>
      </w:r>
      <w:r>
        <w:t>((</w:t>
      </w:r>
      <w:r>
        <w:rPr>
          <w:strike/>
        </w:rPr>
        <w:t xml:space="preserve">Beginning with the 2008-09 school year, school districts shall annually submit an implementation verification report to the office of the superintendent of public instruction.</w:t>
      </w:r>
      <w:r>
        <w:t>))</w:t>
      </w:r>
      <w:r>
        <w:rPr/>
        <w:t xml:space="preserve"> The office of the superintendent of public instruction may not require school districts to use a classroom-based assessment in social studies, the arts, and health and fitness to meet the requirements of this section and shall clearly communicate to districts their option to use other strategies chosen by the district.</w:t>
      </w:r>
    </w:p>
    <w:p>
      <w:pPr>
        <w:spacing w:before="0" w:after="0" w:line="408" w:lineRule="exact"/>
        <w:ind w:left="0" w:right="0" w:firstLine="576"/>
        <w:jc w:val="left"/>
      </w:pPr>
      <w:r>
        <w:rPr/>
        <w:t xml:space="preserve">(2) Beginning with the 2008-09 school year, school districts shall require students in the seventh or eighth grade, and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 to each complete at least one classroom-based assessment in civics. Beginning with the 2010-11 school year, school districts shall require students in the fourth or fifth grade to complete at least one classroom-based assessment in civics. The civics assessment may be selected from a list of classroom-based assessments approved by the office of the superintendent of public instruction. </w:t>
      </w:r>
      <w:r>
        <w:t>((</w:t>
      </w:r>
      <w:r>
        <w:rPr>
          <w:strike/>
        </w:rPr>
        <w:t xml:space="preserve">Beginning with the 2008-09 school year, school districts shall annually submit implementation verification reports to the office of the superintendent of public instruction documenting the use of the classroom-based assessments in civics.</w:t>
      </w:r>
    </w:p>
    <w:p>
      <w:pPr>
        <w:spacing w:before="0" w:after="0" w:line="408" w:lineRule="exact"/>
        <w:ind w:left="0" w:right="0" w:firstLine="576"/>
        <w:jc w:val="left"/>
      </w:pPr>
      <w:r>
        <w:rPr>
          <w:strike/>
        </w:rPr>
        <w:t xml:space="preserve">(3) Verification reports shall require school districts to report only the information necessary to comply with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530</w:t>
      </w:r>
      <w:r>
        <w:rPr/>
        <w:t xml:space="preserve"> and 2009 c 546 s 2 are each amended to read as follows:</w:t>
      </w:r>
    </w:p>
    <w:p>
      <w:pPr>
        <w:spacing w:before="0" w:after="0" w:line="408" w:lineRule="exact"/>
        <w:ind w:left="0" w:right="0" w:firstLine="576"/>
        <w:jc w:val="left"/>
      </w:pPr>
      <w:r>
        <w:t>((</w:t>
      </w:r>
      <w:r>
        <w:rPr>
          <w:strike/>
        </w:rPr>
        <w:t xml:space="preserve">(1)</w:t>
      </w:r>
      <w:r>
        <w:t>))</w:t>
      </w:r>
      <w:r>
        <w:rPr/>
        <w:t xml:space="preserve"> Within available resources, the office of the superintendent of public instruction, in consultation with the school districts that participated in the Lorraine Wojahn dyslexia pilot program, and with an international nonprofit organization dedicated to supporting efforts to provide appropriate identification of and instruction for individuals with dyslexia, shall:</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Develop an educator training program to enhance the reading, writing, and spelling skills of students with dyslexia. The training program must provide research-based, multisensory literacy intervention professional development in the areas of dyslexia and intervention implementation. The program shall be posted on the website of the office of the superintendent of public instruction. The training program may be regionally delivered through the educational service districts. The educational service districts may seek assistance from the international nonprofit organization to deliver the training; 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Develop a dyslexia handbook to be used as a reference for teachers and parents of students with dyslexia. The handbook shall be modeled after other state dyslexia handbooks, and shall include guidelines for school districts to follow as they identify and provide services for students with dyslexia. Additionally, the handbook shall provide school districts, and parents and guardians with information regarding the state's relevant statutes and their relation to federal special education laws. The handbook shall be posted on the website of the office of the superintendent of public instruction.</w:t>
      </w:r>
    </w:p>
    <w:p>
      <w:pPr>
        <w:spacing w:before="0" w:after="0" w:line="408" w:lineRule="exact"/>
        <w:ind w:left="0" w:right="0" w:firstLine="576"/>
        <w:jc w:val="left"/>
      </w:pPr>
      <w:r>
        <w:t>((</w:t>
      </w:r>
      <w:r>
        <w:rPr>
          <w:strike/>
        </w:rPr>
        <w:t xml:space="preserve">(2) Beginning September 1, 2009, and annually thereafter, each educational service district shall report to the office of the superintendent of public instruction the number of individuals who participate in the training developed and offered by the educational service district. The office of the superintendent of public instruction shall report that information to the legislative education committees.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035</w:t>
      </w:r>
      <w:r>
        <w:rPr/>
        <w:t xml:space="preserve"> and 2006 c 263 s 103 are each amended to read as follows:</w:t>
      </w:r>
    </w:p>
    <w:p>
      <w:pPr>
        <w:spacing w:before="0" w:after="0" w:line="408" w:lineRule="exact"/>
        <w:ind w:left="0" w:right="0" w:firstLine="576"/>
        <w:jc w:val="left"/>
      </w:pPr>
      <w:r>
        <w:t>((</w:t>
      </w:r>
      <w:r>
        <w:rPr>
          <w:strike/>
        </w:rPr>
        <w:t xml:space="preserve">(1) By October 15th of each even-numbered year, the state board of education and the professional educator standards board shall submit a joint report to the legislative education committees, the governor, and the superintendent of public instruction. The report shall address the progress the boards have made and the obstacles they have encountered, individually and collectively, in the work of achieving the goals in RCW 28A.150.210.</w:t>
      </w:r>
    </w:p>
    <w:p>
      <w:pPr>
        <w:spacing w:before="0" w:after="0" w:line="408" w:lineRule="exact"/>
        <w:ind w:left="0" w:right="0" w:firstLine="576"/>
        <w:jc w:val="left"/>
      </w:pPr>
      <w:r>
        <w:rPr>
          <w:strike/>
        </w:rPr>
        <w:t xml:space="preserve">(2)</w:t>
      </w:r>
      <w:r>
        <w:t>))</w:t>
      </w:r>
      <w:r>
        <w:rPr/>
        <w:t xml:space="preserve"> The state board of education shall include the chairs and ranking minority members of the legislative education committees in board communications so that the legislature can be kept apprised of the discussions and proposed actions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2021 c 111 s 10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w:t>
      </w:r>
      <w:r>
        <w:t>((</w:t>
      </w:r>
      <w:r>
        <w:rPr>
          <w:strike/>
        </w:rPr>
        <w:t xml:space="preserve">(7)</w:t>
      </w:r>
      <w:r>
        <w:t>))</w:t>
      </w:r>
      <w:r>
        <w:rPr/>
        <w:t xml:space="preserve"> </w:t>
      </w:r>
      <w:r>
        <w:rPr>
          <w:u w:val="single"/>
        </w:rPr>
        <w:t xml:space="preserve">(6)</w:t>
      </w:r>
      <w:r>
        <w:rPr/>
        <w:t xml:space="preserve">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who are not meeting academic standards as defined in RCW 28A.165.015, disaggregated as described in RCW 28A.300.042(1) for student-level data.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(b)(i)(A) Identify the scores students must achieve in order to meet the standard on the statewide student assessment, and the SAT or the ACT if used to demonstrate career and college readiness under RCW 28A.655.250.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(B) To permit the legislature to take any statutory action it deems warranted before modified or newly established scores are implemented, the board shall notify the education committees of the house of representatives and the senate of any scores that are modified or established under (b)(i)(A) of this subsection on or after July 28, 2019. The notifications required by this subsection (4)(b)(i)(B) must be provided by November 30th of the year proceeding the beginning of the school year in which the modified or established scores will take effect;</w:t>
      </w:r>
    </w:p>
    <w:p>
      <w:pPr>
        <w:spacing w:before="0" w:after="0" w:line="408" w:lineRule="exact"/>
        <w:ind w:left="0" w:right="0" w:firstLine="576"/>
        <w:jc w:val="left"/>
      </w:pPr>
      <w:r>
        <w:rPr/>
        <w:t xml:space="preserve">(ii)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website; </w:t>
      </w:r>
      <w:r>
        <w:rPr>
          <w:u w:val="single"/>
        </w:rPr>
        <w:t xml:space="preserve">and</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w:t>
      </w:r>
      <w:r>
        <w:t>((</w:t>
      </w:r>
      <w:r>
        <w:rPr>
          <w:strike/>
        </w:rPr>
        <w:t xml:space="preserve">; and</w:t>
      </w:r>
    </w:p>
    <w:p>
      <w:pPr>
        <w:spacing w:before="0" w:after="0" w:line="408" w:lineRule="exact"/>
        <w:ind w:left="0" w:right="0" w:firstLine="576"/>
        <w:jc w:val="left"/>
      </w:pPr>
      <w:r>
        <w:rPr>
          <w:strike/>
        </w:rPr>
        <w:t xml:space="preserve">(d) Include in the biennial report required under RCW 28A.305.035, information on the progress that has been made in achieving goals adopted by the board</w:t>
      </w:r>
      <w:r>
        <w:t>))</w:t>
      </w:r>
      <w:r>
        <w:rPr/>
        <w:t xml:space="preserve">;</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2017 3rd sp.s. c 26 s 2 are each amended to read as follows:</w:t>
      </w:r>
    </w:p>
    <w:p>
      <w:pPr>
        <w:spacing w:before="0" w:after="0" w:line="408" w:lineRule="exact"/>
        <w:ind w:left="0" w:right="0" w:firstLine="576"/>
        <w:jc w:val="left"/>
      </w:pPr>
      <w:r>
        <w:rPr/>
        <w:t xml:space="preserve">The purpose of the Washington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 RCW 28A.410.251, and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w:t>
      </w:r>
      <w:r>
        <w:t>((</w:t>
      </w:r>
      <w:r>
        <w:rPr>
          <w:strike/>
        </w:rPr>
        <w:t xml:space="preserve">Submit, by October 15th of each even-numbered year and in accordance with RCW 43.01.036,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strike/>
        </w:rPr>
        <w:t xml:space="preserve">(12)</w:t>
      </w:r>
      <w:r>
        <w:t>))</w:t>
      </w:r>
      <w:r>
        <w:rPr/>
        <w:t xml:space="preserve"> Establish the prospective teacher assessment system for basic skills and subject knowledge that shall be required to obtain residency certification pursuant to RCW 28A.410.220 through 28A.410.240; and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2022 c 75 s 4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textbook fees, and other costs associated with offering dual credit courses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w:t>
      </w:r>
      <w:r>
        <w:t>((</w:t>
      </w:r>
      <w:r>
        <w:rPr>
          <w:strike/>
        </w:rPr>
        <w:t xml:space="preserve">one hundred twenty-five</w:t>
      </w:r>
      <w:r>
        <w:t>))</w:t>
      </w:r>
      <w:r>
        <w:rPr/>
        <w:t xml:space="preserve"> </w:t>
      </w:r>
      <w:r>
        <w:rPr>
          <w:u w:val="single"/>
        </w:rPr>
        <w:t xml:space="preserve">125</w:t>
      </w:r>
      <w:r>
        <w:rPr/>
        <w:t xml:space="preser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28A.600.287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career and technical education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t>((</w:t>
      </w:r>
      <w:r>
        <w:rPr>
          <w:strike/>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220</w:t>
      </w:r>
      <w:r>
        <w:rPr/>
        <w:t xml:space="preserve"> and 2013 c 23 s 61 are each amended to read as follows:</w:t>
      </w:r>
    </w:p>
    <w:p>
      <w:pPr>
        <w:spacing w:before="0" w:after="0" w:line="408" w:lineRule="exact"/>
        <w:ind w:left="0" w:right="0" w:firstLine="576"/>
        <w:jc w:val="left"/>
      </w:pPr>
      <w:r>
        <w:rPr/>
        <w:t xml:space="preserve">(1) The council must convene work groups to develop transfer associate degrees that will satisfy lower division requirements at public four-year institutions of higher education for specific academic majors. Work groups must include representatives from the state board for community and technical colleges and the council of presidents, as well as faculty from two and four-year institutions. Work groups may include representatives from independent four-year institutions.</w:t>
      </w:r>
    </w:p>
    <w:p>
      <w:pPr>
        <w:spacing w:before="0" w:after="0" w:line="408" w:lineRule="exact"/>
        <w:ind w:left="0" w:right="0" w:firstLine="576"/>
        <w:jc w:val="left"/>
      </w:pPr>
      <w:r>
        <w:rPr/>
        <w:t xml:space="preserve">(2) Each transfer associate degree developed under this section must enable a student to complete the lower-division courses or competencies for general education requirements and preparation for the major that a direct-entry student would typically complete in the first-year student and sophomore years for that academic major.</w:t>
      </w:r>
    </w:p>
    <w:p>
      <w:pPr>
        <w:spacing w:before="0" w:after="0" w:line="408" w:lineRule="exact"/>
        <w:ind w:left="0" w:right="0" w:firstLine="576"/>
        <w:jc w:val="left"/>
      </w:pPr>
      <w:r>
        <w:rPr/>
        <w:t xml:space="preserve">(3) Completion of a transfer associate degree does not guarantee a student admission into an institution of higher education or admission into a major, minor, or professional program at an institution of higher education that has competitive admission standards for the program based on grade point average or other performance criteria.</w:t>
      </w:r>
    </w:p>
    <w:p>
      <w:pPr>
        <w:spacing w:before="0" w:after="0" w:line="408" w:lineRule="exact"/>
        <w:ind w:left="0" w:right="0" w:firstLine="576"/>
        <w:jc w:val="left"/>
      </w:pPr>
      <w:r>
        <w:rPr/>
        <w:t xml:space="preserve">(4) During the 2004-05 academic year, the work groups must develop transfer degrees for elementary education, engineering, and nursing. As necessary based on demand or identified need, the council must convene additional groups to identify and develop additional transfer degrees. The council must give priority to majors in high demand by transfer students and majors that the general direct transfer agreement associate degree does not adequately prepare students to enter automatically upon transfer.</w:t>
      </w:r>
    </w:p>
    <w:p>
      <w:pPr>
        <w:spacing w:before="0" w:after="0" w:line="408" w:lineRule="exact"/>
        <w:ind w:left="0" w:right="0" w:firstLine="576"/>
        <w:jc w:val="left"/>
      </w:pPr>
      <w:r>
        <w:rPr/>
        <w:t xml:space="preserve">(5) The council, in collaboration with the intercollege relations commission, must collect and maintain lists of courses offered by each community and technical college and public four-year institution of higher education that fall within each transfer associate degree.</w:t>
      </w:r>
    </w:p>
    <w:p>
      <w:pPr>
        <w:spacing w:before="0" w:after="0" w:line="408" w:lineRule="exact"/>
        <w:ind w:left="0" w:right="0" w:firstLine="576"/>
        <w:jc w:val="left"/>
      </w:pPr>
      <w:r>
        <w:rPr/>
        <w:t xml:space="preserve">(6) The council must monitor implementation of transfer associate degrees by public four-year institutions to ensure compliance with subsection (2) of this section.</w:t>
      </w:r>
    </w:p>
    <w:p>
      <w:pPr>
        <w:spacing w:before="0" w:after="0" w:line="408" w:lineRule="exact"/>
        <w:ind w:left="0" w:right="0" w:firstLine="576"/>
        <w:jc w:val="left"/>
      </w:pPr>
      <w:r>
        <w:t>((</w:t>
      </w:r>
      <w:r>
        <w:rPr>
          <w:strike/>
        </w:rPr>
        <w:t xml:space="preserve">(7) Beginning January 10, 2005, the council must submit a progress report on the development of transfer associate degrees to the higher education committees of the house of representatives and the senate. The first progress report must include measurable benchmark indicators to monitor the effectiveness of the initiatives in improving transfer and baseline data for those indicators before the implementation of the initiatives. Subsequent reports must be submitted by January 10th of each odd-numbered year and must monitor progress on the indicators, describe development of additional transfer associate degrees, and provide other data on improvements in transfer efficiency.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150</w:t>
      </w:r>
      <w:r>
        <w:rPr/>
        <w:t xml:space="preserve"> and 2017 c 47 s 2 are each amended to read as follows:</w:t>
      </w:r>
    </w:p>
    <w:p>
      <w:pPr>
        <w:spacing w:before="0" w:after="0" w:line="408" w:lineRule="exact"/>
        <w:ind w:left="0" w:right="0" w:firstLine="576"/>
        <w:jc w:val="left"/>
      </w:pPr>
      <w:r>
        <w:t>((</w:t>
      </w:r>
      <w:r>
        <w:rPr>
          <w:strike/>
        </w:rPr>
        <w:t xml:space="preserve">(1)</w:t>
      </w:r>
      <w:r>
        <w:t>))</w:t>
      </w:r>
      <w:r>
        <w:rPr/>
        <w:t xml:space="preserve"> The director, whenever it is lawful and feasible to do so, shall consult and cooperate with the federal government, as well as with other states and Canadian provinces, in the study and control of environmental problems. On behalf of the department, the director is authorized to accept, receive, disburse, and administer grants or other funds or gifts from any source, including private individuals or agencies, the federal government, and other public agencies, for the purpose of carrying out the provisions of this chapter.</w:t>
      </w:r>
    </w:p>
    <w:p>
      <w:pPr>
        <w:spacing w:before="0" w:after="0" w:line="408" w:lineRule="exact"/>
        <w:ind w:left="0" w:right="0" w:firstLine="576"/>
        <w:jc w:val="left"/>
      </w:pPr>
      <w:r>
        <w:t>((</w:t>
      </w:r>
      <w:r>
        <w:rPr>
          <w:strike/>
        </w:rPr>
        <w:t xml:space="preserve">(2)(a) Beginning December 31, 2017, the director must list on the department's website information regarding the current interagency agreements to which the department is a party or in which the department is a participant.</w:t>
      </w:r>
    </w:p>
    <w:p>
      <w:pPr>
        <w:spacing w:before="0" w:after="0" w:line="408" w:lineRule="exact"/>
        <w:ind w:left="0" w:right="0" w:firstLine="576"/>
        <w:jc w:val="left"/>
      </w:pPr>
      <w:r>
        <w:rPr>
          <w:strike/>
        </w:rPr>
        <w:t xml:space="preserve">(b) The list must identify each agreement, the type of agreement, parties to the agreement, the effective date of the agreement, and a brief description of the agreement. The list must include all interagency agreements involving the department and other state agencies, local governments, special purpose districts, the federal government and federal government agencies, and the agencies of other states.</w:t>
      </w:r>
    </w:p>
    <w:p>
      <w:pPr>
        <w:spacing w:before="0" w:after="0" w:line="408" w:lineRule="exact"/>
        <w:ind w:left="0" w:right="0" w:firstLine="576"/>
        <w:jc w:val="left"/>
      </w:pPr>
      <w:r>
        <w:rPr>
          <w:strike/>
        </w:rPr>
        <w:t xml:space="preserve">(c) For the initial list, the department must by December 31, 2017, list all grant agreements and federal agreements where information is readily extractable from the department's data systems. For those data systems that, because of their age, require programming support to extract and format data for publishing to the internet, the department must complete listing the required information according to the following schedule:</w:t>
      </w:r>
    </w:p>
    <w:p>
      <w:pPr>
        <w:spacing w:before="0" w:after="0" w:line="408" w:lineRule="exact"/>
        <w:ind w:left="0" w:right="0" w:firstLine="576"/>
        <w:jc w:val="left"/>
      </w:pPr>
      <w:r>
        <w:rPr>
          <w:strike/>
        </w:rPr>
        <w:t xml:space="preserve">(i) By June 30, 2018, all contract, loan, and grant agreements;</w:t>
      </w:r>
    </w:p>
    <w:p>
      <w:pPr>
        <w:spacing w:before="0" w:after="0" w:line="408" w:lineRule="exact"/>
        <w:ind w:left="0" w:right="0" w:firstLine="576"/>
        <w:jc w:val="left"/>
      </w:pPr>
      <w:r>
        <w:rPr>
          <w:strike/>
        </w:rPr>
        <w:t xml:space="preserve">(ii) By December 31, 2018, all agreements pertaining to funds receivable for work performed by the department, leases, and nonfinancial interagency agreements.</w:t>
      </w:r>
    </w:p>
    <w:p>
      <w:pPr>
        <w:spacing w:before="0" w:after="0" w:line="408" w:lineRule="exact"/>
        <w:ind w:left="0" w:right="0" w:firstLine="576"/>
        <w:jc w:val="left"/>
      </w:pPr>
      <w:r>
        <w:rPr>
          <w:strike/>
        </w:rPr>
        <w:t xml:space="preserve">(d) Beginning December 1, 2018, the department must annually update the website to include new interagency agreements that the department has entered into and must identify the agreements that have been updated within the past year.</w:t>
      </w:r>
    </w:p>
    <w:p>
      <w:pPr>
        <w:spacing w:before="0" w:after="0" w:line="408" w:lineRule="exact"/>
        <w:ind w:left="0" w:right="0" w:firstLine="576"/>
        <w:jc w:val="left"/>
      </w:pPr>
      <w:r>
        <w:rPr>
          <w:strike/>
        </w:rPr>
        <w:t xml:space="preserve">(e) For the purposes of this section, the term "interagency agreement" includes but is not limited to memoranda of understanding, grant contracts, and advisory or nonbinding agreements.</w:t>
      </w:r>
    </w:p>
    <w:p>
      <w:pPr>
        <w:spacing w:before="0" w:after="0" w:line="408" w:lineRule="exact"/>
        <w:ind w:left="0" w:right="0" w:firstLine="576"/>
        <w:jc w:val="left"/>
      </w:pPr>
      <w:r>
        <w:rPr>
          <w:strike/>
        </w:rPr>
        <w:t xml:space="preserve">(f) For purposes of this section, the information posted on the department's website is considered to function as a report to the legislature because the report acts as a mechanism of keeping the legislature apprised of the department's interagency agreements.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240</w:t>
      </w:r>
      <w:r>
        <w:rPr/>
        <w:t xml:space="preserve"> and 2020 c 56 s 2 are each amended to read as follows:</w:t>
      </w:r>
    </w:p>
    <w:p>
      <w:pPr>
        <w:spacing w:before="0" w:after="0" w:line="408" w:lineRule="exact"/>
        <w:ind w:left="0" w:right="0" w:firstLine="576"/>
        <w:jc w:val="left"/>
      </w:pPr>
      <w:r>
        <w:rPr/>
        <w:t xml:space="preserve">(1) The position of lesbian, gay, bisexual, transgender, and queer coordinator is created within the department.</w:t>
      </w:r>
    </w:p>
    <w:p>
      <w:pPr>
        <w:spacing w:before="0" w:after="0" w:line="408" w:lineRule="exact"/>
        <w:ind w:left="0" w:right="0" w:firstLine="576"/>
        <w:jc w:val="left"/>
      </w:pPr>
      <w:r>
        <w:rPr/>
        <w:t xml:space="preserve">(2) The duties of the lesbian, gay, bisexual, transgender, and queer coordinator include, but are not limited to:</w:t>
      </w:r>
    </w:p>
    <w:p>
      <w:pPr>
        <w:spacing w:before="0" w:after="0" w:line="408" w:lineRule="exact"/>
        <w:ind w:left="0" w:right="0" w:firstLine="576"/>
        <w:jc w:val="left"/>
      </w:pPr>
      <w:r>
        <w:rPr/>
        <w:t xml:space="preserve">(a) Conducting outreach to, and providing assistance designed for the unique needs of, veterans who are lesbian, gay, bisexual, transgender, and queer, and to the spouses and dependents of such veterans;</w:t>
      </w:r>
    </w:p>
    <w:p>
      <w:pPr>
        <w:spacing w:before="0" w:after="0" w:line="408" w:lineRule="exact"/>
        <w:ind w:left="0" w:right="0" w:firstLine="576"/>
        <w:jc w:val="left"/>
      </w:pPr>
      <w:r>
        <w:rPr/>
        <w:t xml:space="preserve">(b) Providing assistance to veterans who are lesbian, gay, bisexual, transgender, and queer in applying for an upgrade to the character of a discharge from service or a change in the narrative reason for a discharge from service;</w:t>
      </w:r>
    </w:p>
    <w:p>
      <w:pPr>
        <w:spacing w:before="0" w:after="0" w:line="408" w:lineRule="exact"/>
        <w:ind w:left="0" w:right="0" w:firstLine="576"/>
        <w:jc w:val="left"/>
      </w:pPr>
      <w:r>
        <w:rPr/>
        <w:t xml:space="preserve">(c) Providing assistance in applying for and obtaining veterans' benefits and benefits available through other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rPr/>
        <w:t xml:space="preserve">(d) Providing assistance to veterans who are lesbian, gay, bisexual, transgender, and queer in applying for, and in appealing any denial of, federal and state veterans' benefits and aid that such veterans, and the spouses and dependents of such veterans, may be entitled to; and</w:t>
      </w:r>
    </w:p>
    <w:p>
      <w:pPr>
        <w:spacing w:before="0" w:after="0" w:line="408" w:lineRule="exact"/>
        <w:ind w:left="0" w:right="0" w:firstLine="576"/>
        <w:jc w:val="left"/>
      </w:pPr>
      <w:r>
        <w:rPr/>
        <w:t xml:space="preserve">(e) Developing and distributing informational materials to veterans who are lesbian, gay, bisexual, transgender, and queer, and to the spouses and dependents of such veterans, regarding veterans' benefits and other benefit programs that provide services and resources to veterans who are lesbian, gay, bisexual, transgender, and queer, and to the spouses and dependents of such veterans.</w:t>
      </w:r>
    </w:p>
    <w:p>
      <w:pPr>
        <w:spacing w:before="0" w:after="0" w:line="408" w:lineRule="exact"/>
        <w:ind w:left="0" w:right="0" w:firstLine="576"/>
        <w:jc w:val="left"/>
      </w:pPr>
      <w:r>
        <w:t>((</w:t>
      </w:r>
      <w:r>
        <w:rPr>
          <w:strike/>
        </w:rPr>
        <w:t xml:space="preserve">(3) No later than December 15, 2021, the department must prepare and submit a report to the governor, the joint committee on veterans' and military affairs, and the appropriate standing committees of the legislature regarding the implementation and status of the position of lesbian, gay, bisexual, transgender, and queer coordinator created under subsection (1) of this section. The report must include, at a minimum, information regarding the following:</w:t>
      </w:r>
    </w:p>
    <w:p>
      <w:pPr>
        <w:spacing w:before="0" w:after="0" w:line="408" w:lineRule="exact"/>
        <w:ind w:left="0" w:right="0" w:firstLine="576"/>
        <w:jc w:val="left"/>
      </w:pPr>
      <w:r>
        <w:rPr>
          <w:strike/>
        </w:rPr>
        <w:t xml:space="preserve">(a) The number of veterans served;</w:t>
      </w:r>
    </w:p>
    <w:p>
      <w:pPr>
        <w:spacing w:before="0" w:after="0" w:line="408" w:lineRule="exact"/>
        <w:ind w:left="0" w:right="0" w:firstLine="576"/>
        <w:jc w:val="left"/>
      </w:pPr>
      <w:r>
        <w:rPr>
          <w:strike/>
        </w:rPr>
        <w:t xml:space="preserve">(b) The type of assistance provided;</w:t>
      </w:r>
    </w:p>
    <w:p>
      <w:pPr>
        <w:spacing w:before="0" w:after="0" w:line="408" w:lineRule="exact"/>
        <w:ind w:left="0" w:right="0" w:firstLine="576"/>
        <w:jc w:val="left"/>
      </w:pPr>
      <w:r>
        <w:rPr>
          <w:strike/>
        </w:rPr>
        <w:t xml:space="preserve">(c) Recommendations for the improvement and expansion of the services provided by the coordinator; and</w:t>
      </w:r>
    </w:p>
    <w:p>
      <w:pPr>
        <w:spacing w:before="0" w:after="0" w:line="408" w:lineRule="exact"/>
        <w:ind w:left="0" w:right="0" w:firstLine="576"/>
        <w:jc w:val="left"/>
      </w:pPr>
      <w:r>
        <w:rPr>
          <w:strike/>
        </w:rPr>
        <w:t xml:space="preserve">(d) Recommendations for legislative changes.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61</w:t>
      </w:r>
      <w:r>
        <w:rPr/>
        <w:t xml:space="preserve">.</w:t>
      </w:r>
      <w:r>
        <w:t xml:space="preserve">040</w:t>
      </w:r>
      <w:r>
        <w:rPr/>
        <w:t xml:space="preserve"> and 1977 c 75 s 60 are each amended to read as follows:</w:t>
      </w:r>
    </w:p>
    <w:p>
      <w:pPr>
        <w:spacing w:before="0" w:after="0" w:line="408" w:lineRule="exact"/>
        <w:ind w:left="0" w:right="0" w:firstLine="576"/>
        <w:jc w:val="left"/>
      </w:pPr>
      <w:r>
        <w:rPr/>
        <w:t xml:space="preserve">The director of veterans affairs shall make such rules and regulations as may be necessary to carry out the purposes of this chapter. The department shall furnish information, advice, and assistance to veterans and coordinate all programs and services in the field of veterans' claims service, education, health, vocational guidance and placement, and services not provided by some other agency of the state or by the federal government. </w:t>
      </w:r>
      <w:r>
        <w:t>((</w:t>
      </w:r>
      <w:r>
        <w:rPr>
          <w:strike/>
        </w:rPr>
        <w:t xml:space="preserve">The director shall submit a report of the departments' activities hereunder each year to the governor.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068</w:t>
      </w:r>
      <w:r>
        <w:rPr/>
        <w:t xml:space="preserve"> and 2018 c 58 s 3 are each amended to read as follows:</w:t>
      </w:r>
    </w:p>
    <w:p>
      <w:pPr>
        <w:spacing w:before="0" w:after="0" w:line="408" w:lineRule="exact"/>
        <w:ind w:left="0" w:right="0" w:firstLine="576"/>
        <w:jc w:val="left"/>
      </w:pPr>
      <w:r>
        <w:rPr/>
        <w:t xml:space="preserve">(1)(a) The department of commerce shall establish an advisory committee to monitor, guide, and report on recommendations relating to policies and programs for children and families with incarcerated parents.</w:t>
      </w:r>
    </w:p>
    <w:p>
      <w:pPr>
        <w:spacing w:before="0" w:after="0" w:line="408" w:lineRule="exact"/>
        <w:ind w:left="0" w:right="0" w:firstLine="576"/>
        <w:jc w:val="left"/>
      </w:pPr>
      <w:r>
        <w:rPr/>
        <w:t xml:space="preserve">(b) The advisory committee shall include representatives of the department of corrections, the department of social and health services, the department of children, youth, and families, the office of the superintendent of public instruction, representatives of the private nonprofit and business sectors, child advocates, representatives of Washington state Indian tribes as defined under the federal Indian welfare act (25 U.S.C. Sec. 1901 et seq.), court administrators, the administrative office of the courts, the Washington association of sheriffs and police chiefs, jail administrators, the office of the governor, and others who have an interest in these issues.</w:t>
      </w:r>
    </w:p>
    <w:p>
      <w:pPr>
        <w:spacing w:before="0" w:after="0" w:line="408" w:lineRule="exact"/>
        <w:ind w:left="0" w:right="0" w:firstLine="576"/>
        <w:jc w:val="left"/>
      </w:pPr>
      <w:r>
        <w:rPr/>
        <w:t xml:space="preserve">(c) The advisory committee shall:</w:t>
      </w:r>
    </w:p>
    <w:p>
      <w:pPr>
        <w:spacing w:before="0" w:after="0" w:line="408" w:lineRule="exact"/>
        <w:ind w:left="0" w:right="0" w:firstLine="576"/>
        <w:jc w:val="left"/>
      </w:pPr>
      <w:r>
        <w:rPr/>
        <w:t xml:space="preserve">(i) Gather the data collected by the departments as required in RCW 72.09.495, 74.04.800, 43.216.060, and 28A.300.520;</w:t>
      </w:r>
    </w:p>
    <w:p>
      <w:pPr>
        <w:spacing w:before="0" w:after="0" w:line="408" w:lineRule="exact"/>
        <w:ind w:left="0" w:right="0" w:firstLine="576"/>
        <w:jc w:val="left"/>
      </w:pPr>
      <w:r>
        <w:rPr/>
        <w:t xml:space="preserve">(ii) Monitor and provide consultation on the implementation of recommendations contained in the 2006 children of incarcerated parents report;</w:t>
      </w:r>
    </w:p>
    <w:p>
      <w:pPr>
        <w:spacing w:before="0" w:after="0" w:line="408" w:lineRule="exact"/>
        <w:ind w:left="0" w:right="0" w:firstLine="576"/>
        <w:jc w:val="left"/>
      </w:pPr>
      <w:r>
        <w:rPr/>
        <w:t xml:space="preserve">(iii) Identify areas of need and develop recommendations for the legislature, the department of social and health services, the department of corrections, the department of children, youth, and families, and the office of the superintendent of public instruction to better meet the needs of children and families of persons incarcerated in department of corrections facilities; and</w:t>
      </w:r>
    </w:p>
    <w:p>
      <w:pPr>
        <w:spacing w:before="0" w:after="0" w:line="408" w:lineRule="exact"/>
        <w:ind w:left="0" w:right="0" w:firstLine="576"/>
        <w:jc w:val="left"/>
      </w:pPr>
      <w:r>
        <w:rPr/>
        <w:t xml:space="preserve">(iv) Advise the department of commerce regarding community programs the department should fund with moneys appropriated for this purpose in the operating budget. The advisory committee shall provide recommendations to the department regarding the following:</w:t>
      </w:r>
    </w:p>
    <w:p>
      <w:pPr>
        <w:spacing w:before="0" w:after="0" w:line="408" w:lineRule="exact"/>
        <w:ind w:left="0" w:right="0" w:firstLine="576"/>
        <w:jc w:val="left"/>
      </w:pPr>
      <w:r>
        <w:rPr/>
        <w:t xml:space="preserve">(A) The goals for geographic distribution of programs and funding;</w:t>
      </w:r>
    </w:p>
    <w:p>
      <w:pPr>
        <w:spacing w:before="0" w:after="0" w:line="408" w:lineRule="exact"/>
        <w:ind w:left="0" w:right="0" w:firstLine="576"/>
        <w:jc w:val="left"/>
      </w:pPr>
      <w:r>
        <w:rPr/>
        <w:t xml:space="preserve">(B) The scope and purpose of eligible services and the priority of such services;</w:t>
      </w:r>
    </w:p>
    <w:p>
      <w:pPr>
        <w:spacing w:before="0" w:after="0" w:line="408" w:lineRule="exact"/>
        <w:ind w:left="0" w:right="0" w:firstLine="576"/>
        <w:jc w:val="left"/>
      </w:pPr>
      <w:r>
        <w:rPr/>
        <w:t xml:space="preserve">(C) Grant award funding limits;</w:t>
      </w:r>
    </w:p>
    <w:p>
      <w:pPr>
        <w:spacing w:before="0" w:after="0" w:line="408" w:lineRule="exact"/>
        <w:ind w:left="0" w:right="0" w:firstLine="576"/>
        <w:jc w:val="left"/>
      </w:pPr>
      <w:r>
        <w:rPr/>
        <w:t xml:space="preserve">(D) Entities eligible to apply for the funding;</w:t>
      </w:r>
    </w:p>
    <w:p>
      <w:pPr>
        <w:spacing w:before="0" w:after="0" w:line="408" w:lineRule="exact"/>
        <w:ind w:left="0" w:right="0" w:firstLine="576"/>
        <w:jc w:val="left"/>
      </w:pPr>
      <w:r>
        <w:rPr/>
        <w:t xml:space="preserve">(E) Whether the funding should be directed towards starting or supporting new programs, expanding existing programs, or whether the funding should be open to all eligible services and providers; and</w:t>
      </w:r>
    </w:p>
    <w:p>
      <w:pPr>
        <w:spacing w:before="0" w:after="0" w:line="408" w:lineRule="exact"/>
        <w:ind w:left="0" w:right="0" w:firstLine="576"/>
        <w:jc w:val="left"/>
      </w:pPr>
      <w:r>
        <w:rPr/>
        <w:t xml:space="preserve">(F) Other areas the advisory committee determines appropriate.</w:t>
      </w:r>
    </w:p>
    <w:p>
      <w:pPr>
        <w:spacing w:before="0" w:after="0" w:line="408" w:lineRule="exact"/>
        <w:ind w:left="0" w:right="0" w:firstLine="576"/>
        <w:jc w:val="left"/>
      </w:pPr>
      <w:r>
        <w:t>((</w:t>
      </w:r>
      <w:r>
        <w:rPr>
          <w:strike/>
        </w:rPr>
        <w:t xml:space="preserve">(d) The children of incarcerated parents advisory committee shall update the legislature and governor biennially on committee activities, with the first update due by January 1, 2010.</w:t>
      </w:r>
      <w:r>
        <w:t>))</w:t>
      </w:r>
    </w:p>
    <w:p>
      <w:pPr>
        <w:spacing w:before="0" w:after="0" w:line="408" w:lineRule="exact"/>
        <w:ind w:left="0" w:right="0" w:firstLine="576"/>
        <w:jc w:val="left"/>
      </w:pPr>
      <w:r>
        <w:rPr/>
        <w:t xml:space="preserve">(2) The department of commerce shall select community programs or services to receive funding that focus on children and families of inmates incarcerated in a department of corrections facility and sustaining the family during the period of the inmate's incarceration.</w:t>
      </w:r>
    </w:p>
    <w:p>
      <w:pPr>
        <w:spacing w:before="0" w:after="0" w:line="408" w:lineRule="exact"/>
        <w:ind w:left="0" w:right="0" w:firstLine="576"/>
        <w:jc w:val="left"/>
      </w:pPr>
      <w:r>
        <w:rPr/>
        <w:t xml:space="preserve">(a) Programs or services which meet the needs of the children of incarcerated parents should be the greatest consideration in the programs that are identified by the department.</w:t>
      </w:r>
    </w:p>
    <w:p>
      <w:pPr>
        <w:spacing w:before="0" w:after="0" w:line="408" w:lineRule="exact"/>
        <w:ind w:left="0" w:right="0" w:firstLine="576"/>
        <w:jc w:val="left"/>
      </w:pPr>
      <w:r>
        <w:rPr/>
        <w:t xml:space="preserve">(b) The department shall consider the recommendations of the advisory committee regarding which services or programs the department should fund.</w:t>
      </w:r>
    </w:p>
    <w:p>
      <w:pPr>
        <w:spacing w:before="0" w:after="0" w:line="408" w:lineRule="exact"/>
        <w:ind w:left="0" w:right="0" w:firstLine="576"/>
        <w:jc w:val="left"/>
      </w:pPr>
      <w:r>
        <w:rPr/>
        <w:t xml:space="preserve">(c) The programs selected shall collaborate with an agency, or agencies, experienced in providing services to aid families and victims of sexual assault and domestic violence to ensure that the programs identify families who have a history of sexual assault or domestic violence and ensure the services provided are appropriate for the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office of the state chief information officer.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office of the state chief information officer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t>((</w:t>
      </w:r>
      <w:r>
        <w:rPr>
          <w:strike/>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330</w:t>
      </w:r>
      <w:r>
        <w:rPr/>
        <w:t xml:space="preserve"> and 2005 c 318 s 2 are each amended to read as follows:</w:t>
      </w:r>
    </w:p>
    <w:p>
      <w:pPr>
        <w:spacing w:before="0" w:after="0" w:line="408" w:lineRule="exact"/>
        <w:ind w:left="0" w:right="0" w:firstLine="576"/>
        <w:jc w:val="left"/>
      </w:pPr>
      <w:r>
        <w:rPr/>
        <w:t xml:space="preserve">(1) The secretary shall establish an office of transit mobility. The purpose of the office is to facilitate the integration of decentralized public transportation services with the state transportation system. The goals of the office of transit mobility are: (a) To facilitate connection and coordination of transit services and planning; and (b) maximizing opportunities to use public transportation to improve the efficiency of transportation corridors.</w:t>
      </w:r>
    </w:p>
    <w:p>
      <w:pPr>
        <w:spacing w:before="0" w:after="0" w:line="408" w:lineRule="exact"/>
        <w:ind w:left="0" w:right="0" w:firstLine="576"/>
        <w:jc w:val="left"/>
      </w:pPr>
      <w:r>
        <w:rPr/>
        <w:t xml:space="preserve">(2) The duties of the office include, but are not limited to, the following:</w:t>
      </w:r>
    </w:p>
    <w:p>
      <w:pPr>
        <w:spacing w:before="0" w:after="0" w:line="408" w:lineRule="exact"/>
        <w:ind w:left="0" w:right="0" w:firstLine="576"/>
        <w:jc w:val="left"/>
      </w:pPr>
      <w:r>
        <w:rPr/>
        <w:t xml:space="preserve">(a) Developing a statewide strategic plan that creates common goals for transit agencies and reduces competing plans for cross-jurisdictional service;</w:t>
      </w:r>
    </w:p>
    <w:p>
      <w:pPr>
        <w:spacing w:before="0" w:after="0" w:line="408" w:lineRule="exact"/>
        <w:ind w:left="0" w:right="0" w:firstLine="576"/>
        <w:jc w:val="left"/>
      </w:pPr>
      <w:r>
        <w:rPr/>
        <w:t xml:space="preserve">(b) Developing a park and ride lot program;</w:t>
      </w:r>
    </w:p>
    <w:p>
      <w:pPr>
        <w:spacing w:before="0" w:after="0" w:line="408" w:lineRule="exact"/>
        <w:ind w:left="0" w:right="0" w:firstLine="576"/>
        <w:jc w:val="left"/>
      </w:pPr>
      <w:r>
        <w:rPr/>
        <w:t xml:space="preserve">(c) Encouraging long-range transit planning;</w:t>
      </w:r>
    </w:p>
    <w:p>
      <w:pPr>
        <w:spacing w:before="0" w:after="0" w:line="408" w:lineRule="exact"/>
        <w:ind w:left="0" w:right="0" w:firstLine="576"/>
        <w:jc w:val="left"/>
      </w:pPr>
      <w:r>
        <w:rPr/>
        <w:t xml:space="preserve">(d) Providing public transportation expertise to improve linkages between regional transportation planning organizations and transit agencies;</w:t>
      </w:r>
    </w:p>
    <w:p>
      <w:pPr>
        <w:spacing w:before="0" w:after="0" w:line="408" w:lineRule="exact"/>
        <w:ind w:left="0" w:right="0" w:firstLine="576"/>
        <w:jc w:val="left"/>
      </w:pPr>
      <w:r>
        <w:rPr/>
        <w:t xml:space="preserve">(e) Strengthening policies for inclusion of transit and transportation demand management strategies in route development, corridor plan standards, and budget proposals;</w:t>
      </w:r>
    </w:p>
    <w:p>
      <w:pPr>
        <w:spacing w:before="0" w:after="0" w:line="408" w:lineRule="exact"/>
        <w:ind w:left="0" w:right="0" w:firstLine="576"/>
        <w:jc w:val="left"/>
      </w:pPr>
      <w:r>
        <w:rPr/>
        <w:t xml:space="preserve">(f) Recommending best practices to integrate transit and demand management strategies with regional and local land use plans in order to reduce traffic and improve mobility and access;</w:t>
      </w:r>
    </w:p>
    <w:p>
      <w:pPr>
        <w:spacing w:before="0" w:after="0" w:line="408" w:lineRule="exact"/>
        <w:ind w:left="0" w:right="0" w:firstLine="576"/>
        <w:jc w:val="left"/>
      </w:pPr>
      <w:r>
        <w:rPr/>
        <w:t xml:space="preserve">(g) Producing recommendations for the public transportation section of the Washington transportation plan; and</w:t>
      </w:r>
    </w:p>
    <w:p>
      <w:pPr>
        <w:spacing w:before="0" w:after="0" w:line="408" w:lineRule="exact"/>
        <w:ind w:left="0" w:right="0" w:firstLine="576"/>
        <w:jc w:val="left"/>
      </w:pPr>
      <w:r>
        <w:rPr/>
        <w:t xml:space="preserve">(h) Participating in all aspects of corridor planning, including freight planning, ferry system planning, and passenger rail planning.</w:t>
      </w:r>
    </w:p>
    <w:p>
      <w:pPr>
        <w:spacing w:before="0" w:after="0" w:line="408" w:lineRule="exact"/>
        <w:ind w:left="0" w:right="0" w:firstLine="576"/>
        <w:jc w:val="left"/>
      </w:pPr>
      <w:r>
        <w:rPr/>
        <w:t xml:space="preserve">(3) In forming the office, the secretary shall use existing resources to the greatest extent possible.</w:t>
      </w:r>
    </w:p>
    <w:p>
      <w:pPr>
        <w:spacing w:before="0" w:after="0" w:line="408" w:lineRule="exact"/>
        <w:ind w:left="0" w:right="0" w:firstLine="576"/>
        <w:jc w:val="left"/>
      </w:pPr>
      <w:r>
        <w:rPr/>
        <w:t xml:space="preserve">(4) The office of transit mobility shall establish measurable performance objectives for evaluating the success of its initiatives and progress toward accomplishing the overall goals of the office.</w:t>
      </w:r>
    </w:p>
    <w:p>
      <w:pPr>
        <w:spacing w:before="0" w:after="0" w:line="408" w:lineRule="exact"/>
        <w:ind w:left="0" w:right="0" w:firstLine="576"/>
        <w:jc w:val="left"/>
      </w:pPr>
      <w:r>
        <w:t>((</w:t>
      </w:r>
      <w:r>
        <w:rPr>
          <w:strike/>
        </w:rPr>
        <w:t xml:space="preserve">(5) The office of transit mobility must report quarterly to the secretary, and annually to the transportation committees of the legislature, on the progress of the office in meeting the goals and duties provided in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425</w:t>
      </w:r>
      <w:r>
        <w:rPr/>
        <w:t xml:space="preserve"> and 2021 c 294 s 4 are each amended to read as follows:</w:t>
      </w:r>
    </w:p>
    <w:p>
      <w:pPr>
        <w:spacing w:before="0" w:after="0" w:line="408" w:lineRule="exact"/>
        <w:ind w:left="0" w:right="0" w:firstLine="576"/>
        <w:jc w:val="left"/>
      </w:pPr>
      <w:r>
        <w:rPr/>
        <w:t xml:space="preserve">(1) Property owned by a public utility district that is exempt from property tax under RCW 84.36.010 is subject to an annual payment in lieu of property taxes if the property consists of a broadband infrastructure used in providing retail telecommunications services.</w:t>
      </w:r>
    </w:p>
    <w:p>
      <w:pPr>
        <w:spacing w:before="0" w:after="0" w:line="408" w:lineRule="exact"/>
        <w:ind w:left="0" w:right="0" w:firstLine="576"/>
        <w:jc w:val="left"/>
      </w:pPr>
      <w:r>
        <w:rPr/>
        <w:t xml:space="preserve">(2)(a) The amount of the payment must be determined jointly and in good faith negotiation between the public utility district that owns the property and the county or counties in which the property is located.</w:t>
      </w:r>
    </w:p>
    <w:p>
      <w:pPr>
        <w:spacing w:before="0" w:after="0" w:line="408" w:lineRule="exact"/>
        <w:ind w:left="0" w:right="0" w:firstLine="576"/>
        <w:jc w:val="left"/>
      </w:pPr>
      <w:r>
        <w:rPr/>
        <w:t xml:space="preserve">(b) The amount agreed upon may not exceed the property tax amount that would be owed on the property comprising the broadband infrastructure used in providing retail telecommunications services as calculated by the department of revenue. The public utility district must provide information necessary for the department of revenue to make the required valuation under this subsection. The department of revenue must provide the amount of property tax that would be owed on the property to the county or counties in which the broadband infrastructure is located on an annual basis.</w:t>
      </w:r>
    </w:p>
    <w:p>
      <w:pPr>
        <w:spacing w:before="0" w:after="0" w:line="408" w:lineRule="exact"/>
        <w:ind w:left="0" w:right="0" w:firstLine="576"/>
        <w:jc w:val="left"/>
      </w:pPr>
      <w:r>
        <w:rPr/>
        <w:t xml:space="preserve">(c) If the public utility district and a county cannot agree on the amount of the payment in lieu of taxes, either party may invoke binding arbitration by providing written notice to the other party. In the event that the amount of payment in lieu of taxes is submitted to binding arbitration, the arbitrators must consider the government services available to the public utility district's broadband infrastructure used in providing retail telecommunications services. The public utility district and county must each select one arbitrator, the two of whom must pick a third arbitrator. Costs of the arbitration, including compensation for the arbitrators' services, must be borne equally by the parties participating in the arbitration.</w:t>
      </w:r>
    </w:p>
    <w:p>
      <w:pPr>
        <w:spacing w:before="0" w:after="0" w:line="408" w:lineRule="exact"/>
        <w:ind w:left="0" w:right="0" w:firstLine="576"/>
        <w:jc w:val="left"/>
      </w:pPr>
      <w:r>
        <w:rPr/>
        <w:t xml:space="preserve">(3) By April 30th of each year, a public utility district must remit the annual payment to the county treasurer of each county in which the public utility district's broadband infrastructure used in providing retail telecommunications services is located in a form and manner required by the county treasurer.</w:t>
      </w:r>
    </w:p>
    <w:p>
      <w:pPr>
        <w:spacing w:before="0" w:after="0" w:line="408" w:lineRule="exact"/>
        <w:ind w:left="0" w:right="0" w:firstLine="576"/>
        <w:jc w:val="left"/>
      </w:pPr>
      <w:r>
        <w:rPr/>
        <w:t xml:space="preserve">(4) The county must distribute the amounts received under this section to all property taxing districts, including the state, in appropriate tax code areas in the same proportion as it would distribute property taxes from taxable property.</w:t>
      </w:r>
    </w:p>
    <w:p>
      <w:pPr>
        <w:spacing w:before="0" w:after="0" w:line="408" w:lineRule="exact"/>
        <w:ind w:left="0" w:right="0" w:firstLine="576"/>
        <w:jc w:val="left"/>
      </w:pPr>
      <w:r>
        <w:t>((</w:t>
      </w:r>
      <w:r>
        <w:rPr>
          <w:strike/>
        </w:rPr>
        <w:t xml:space="preserve">(5) By December 1, 2019, and annually thereafter, the department of revenue must submit a report to the appropriate legislative committees detailing the amount of payments made under this section and the amount of property tax that would be owed on the property comprising the broadband infrastructure used in providing retail telecommunications services.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inmates with access to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p>
    <w:p>
      <w:pPr>
        <w:spacing w:before="0" w:after="0" w:line="408" w:lineRule="exact"/>
        <w:ind w:left="0" w:right="0" w:firstLine="576"/>
        <w:jc w:val="left"/>
      </w:pPr>
      <w:r>
        <w:rPr/>
        <w:t xml:space="preserve">(a) Rates for facilitating telecommunication services including, but not limited to, phone calls, video visitation, videograms and video clips, emails, and accessing music and entertainment;</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inmate or customer in exchange for use of telecommunication or electronic media services through the contract.</w:t>
      </w:r>
    </w:p>
    <w:p>
      <w:pPr>
        <w:spacing w:before="0" w:after="0" w:line="408" w:lineRule="exact"/>
        <w:ind w:left="0" w:right="0" w:firstLine="576"/>
        <w:jc w:val="left"/>
      </w:pPr>
      <w:r>
        <w:rPr/>
        <w:t xml:space="preserve">(3) By July 1st of each year, the contractor that provides inmates with access to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per call and connection surcharges, bill statement fees, and refund fees;</w:t>
      </w:r>
    </w:p>
    <w:p>
      <w:pPr>
        <w:spacing w:before="0" w:after="0" w:line="408" w:lineRule="exact"/>
        <w:ind w:left="0" w:right="0" w:firstLine="576"/>
        <w:jc w:val="left"/>
      </w:pPr>
      <w:r>
        <w:rPr/>
        <w:t xml:space="preserve">(c) A total accounting of commissions provided to the department or correctional facility;</w:t>
      </w:r>
    </w:p>
    <w:p>
      <w:pPr>
        <w:spacing w:before="0" w:after="0" w:line="408" w:lineRule="exact"/>
        <w:ind w:left="0" w:right="0" w:firstLine="576"/>
        <w:jc w:val="left"/>
      </w:pPr>
      <w:r>
        <w:rPr/>
        <w:t xml:space="preserve">(d) A summary and accounting of services used by inmates categorized as indigent;</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w:t>
      </w:r>
      <w:r>
        <w:t>((</w:t>
      </w:r>
      <w:r>
        <w:rPr>
          <w:strike/>
        </w:rPr>
        <w:t xml:space="preserve">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strike/>
        </w:rPr>
        <w:t xml:space="preserve">(5)</w:t>
      </w:r>
      <w:r>
        <w:t>))</w:t>
      </w:r>
      <w:r>
        <w:rPr/>
        <w:t xml:space="preserve"> This section applies to any contract in effect on June 11, 2020, and to any renegotiation, renewal, or extension of such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2015 c 254 s 1 are each amended to read as follows:</w:t>
      </w:r>
    </w:p>
    <w:p>
      <w:pPr>
        <w:spacing w:before="0" w:after="0" w:line="408" w:lineRule="exact"/>
        <w:ind w:left="0" w:right="0" w:firstLine="576"/>
        <w:jc w:val="left"/>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The surcharge on recreational shellfish licenses cannot be increased more than one dollar and can only be increased when the surcharge for commercial shellfish licenses is increased. A surcharge of four dollars applies to resident and nonresident shellfish and seaweed licenses as authorized by RCW 77.32.520(3) (a) and (b); a surcharge of three dollars applies to resident and nonresident adult combination licenses as authorized by RCW 77.32.470(2)(a); a surcharge of three dollars applies to annual resident and nonresident razor clam licenses as authorized by RCW 77.32.520(4); and a surcharge of two dollars applies to the three-day razor clam license authorized by RCW 77.32.520(5). Amounts collected from these surcharges must be deposited in the biotoxin account created in subsection (3) of this section. The department may not use any amounts collected from these surcharges to pay for its administrative costs.</w:t>
      </w:r>
    </w:p>
    <w:p>
      <w:pPr>
        <w:spacing w:before="0" w:after="0" w:line="408" w:lineRule="exact"/>
        <w:ind w:left="0" w:right="0" w:firstLine="576"/>
        <w:jc w:val="left"/>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w:t>
      </w:r>
      <w:r>
        <w:t>((</w:t>
      </w:r>
      <w:r>
        <w:rPr>
          <w:strike/>
        </w:rPr>
        <w:t xml:space="preserve">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r>
        <w:t>))</w:t>
      </w:r>
    </w:p>
    <w:p>
      <w:pPr>
        <w:spacing w:before="0" w:after="0" w:line="408" w:lineRule="exact"/>
        <w:ind w:left="0" w:right="0" w:firstLine="576"/>
        <w:jc w:val="left"/>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470</w:t>
      </w:r>
      <w:r>
        <w:rPr/>
        <w:t xml:space="preserve"> and 2011 c 363 s 4 are each amended to read as follows:</w:t>
      </w:r>
    </w:p>
    <w:p>
      <w:pPr>
        <w:spacing w:before="0" w:after="0" w:line="408" w:lineRule="exact"/>
        <w:ind w:left="0" w:right="0" w:firstLine="576"/>
        <w:jc w:val="left"/>
      </w:pPr>
      <w:r>
        <w:rPr/>
        <w:t xml:space="preserve">(1)(a)(i) Moneys collected from the taxes imposed under RCW 82.14.465 may be used only for the following purposes:</w:t>
      </w:r>
    </w:p>
    <w:p>
      <w:pPr>
        <w:spacing w:before="0" w:after="0" w:line="408" w:lineRule="exact"/>
        <w:ind w:left="0" w:right="0" w:firstLine="576"/>
        <w:jc w:val="left"/>
      </w:pPr>
      <w:r>
        <w:rPr/>
        <w:t xml:space="preserve">(A) Principal and interest payments on bonds issued to finance or refinance public improvements in a benefit zone under the authority of RCW 39.100.060;</w:t>
      </w:r>
    </w:p>
    <w:p>
      <w:pPr>
        <w:spacing w:before="0" w:after="0" w:line="408" w:lineRule="exact"/>
        <w:ind w:left="0" w:right="0" w:firstLine="576"/>
        <w:jc w:val="left"/>
      </w:pPr>
      <w:r>
        <w:rPr/>
        <w:t xml:space="preserve">(B) Principal and interest payments on other bonds issued by the local government to finance public improvements; or</w:t>
      </w:r>
    </w:p>
    <w:p>
      <w:pPr>
        <w:spacing w:before="0" w:after="0" w:line="408" w:lineRule="exact"/>
        <w:ind w:left="0" w:right="0" w:firstLine="576"/>
        <w:jc w:val="left"/>
      </w:pPr>
      <w:r>
        <w:rPr/>
        <w:t xml:space="preserve">(C) Payments for public improvement costs.</w:t>
      </w:r>
    </w:p>
    <w:p>
      <w:pPr>
        <w:spacing w:before="0" w:after="0" w:line="408" w:lineRule="exact"/>
        <w:ind w:left="0" w:right="0" w:firstLine="576"/>
        <w:jc w:val="left"/>
      </w:pPr>
      <w:r>
        <w:rPr/>
        <w:t xml:space="preserve">(ii) Moneys collected and used as provided in (a)(i) of this subsection must be matched with an amount from local public sources dedicated, as further provided in RCW 82.14.465 (4)(c)(ii) and (7)(k), through December 31st of the previous calendar year to finance public improvements authorized under chapter 39.100 RCW.</w:t>
      </w:r>
    </w:p>
    <w:p>
      <w:pPr>
        <w:spacing w:before="0" w:after="0" w:line="408" w:lineRule="exact"/>
        <w:ind w:left="0" w:right="0" w:firstLine="576"/>
        <w:jc w:val="left"/>
      </w:pPr>
      <w:r>
        <w:rPr/>
        <w:t xml:space="preserve">(b) Local public sources are dedicated to finance public improvements if they: (i) Are actually expended to pay public improvement costs or debt service on bonds issued for public improvements; or (ii) are required by law or an agreement to be used exclusively to pay public improvement costs or debt service on bonds issued for public improvements.</w:t>
      </w:r>
    </w:p>
    <w:p>
      <w:pPr>
        <w:spacing w:before="0" w:after="0" w:line="408" w:lineRule="exact"/>
        <w:ind w:left="0" w:right="0" w:firstLine="576"/>
        <w:jc w:val="left"/>
      </w:pPr>
      <w:r>
        <w:rPr/>
        <w:t xml:space="preserve">(c) A city, town, or county is not required to expend taxes imposed under RCW 82.14.465 in the fiscal year in which the taxes are received.</w:t>
      </w:r>
    </w:p>
    <w:p>
      <w:pPr>
        <w:spacing w:before="0" w:after="0" w:line="408" w:lineRule="exact"/>
        <w:ind w:left="0" w:right="0" w:firstLine="576"/>
        <w:jc w:val="left"/>
      </w:pPr>
      <w:r>
        <w:rPr/>
        <w:t xml:space="preserve">(2) A local government must inform the department by the first day of March of the amount of local public sources allocated to the preceding calendar year to finance public improvements authorized under chapter 39.100 RCW.</w:t>
      </w:r>
    </w:p>
    <w:p>
      <w:pPr>
        <w:spacing w:before="0" w:after="0" w:line="408" w:lineRule="exact"/>
        <w:ind w:left="0" w:right="0" w:firstLine="576"/>
        <w:jc w:val="left"/>
      </w:pPr>
      <w:r>
        <w:rPr/>
        <w:t xml:space="preserve">(3) If a local government fails to comply with subsection (2) of this section, no tax may be imposed under RCW 82.14.465 in the subsequent fiscal year.</w:t>
      </w:r>
    </w:p>
    <w:p>
      <w:pPr>
        <w:spacing w:before="0" w:after="0" w:line="408" w:lineRule="exact"/>
        <w:ind w:left="0" w:right="0" w:firstLine="576"/>
        <w:jc w:val="left"/>
      </w:pPr>
      <w:r>
        <w:rPr/>
        <w:t xml:space="preserve">(4)(a) A local government must provide a report to the department and the state auditor by March 1st of each year. A local government must make a good faith effort to provide information required for the report.</w:t>
      </w:r>
    </w:p>
    <w:p>
      <w:pPr>
        <w:spacing w:before="0" w:after="0" w:line="408" w:lineRule="exact"/>
        <w:ind w:left="0" w:right="0" w:firstLine="576"/>
        <w:jc w:val="left"/>
      </w:pPr>
      <w:r>
        <w:rPr/>
        <w:t xml:space="preserve">(b) The report must contain the following information:</w:t>
      </w:r>
    </w:p>
    <w:p>
      <w:pPr>
        <w:spacing w:before="0" w:after="0" w:line="408" w:lineRule="exact"/>
        <w:ind w:left="0" w:right="0" w:firstLine="576"/>
        <w:jc w:val="left"/>
      </w:pPr>
      <w:r>
        <w:rPr/>
        <w:t xml:space="preserve">(i) The amount of tax allocation revenues, taxes under RCW 82.14.465, and local public sources received by the local government during the preceding calendar year, and a summary of how these revenues were expended; and</w:t>
      </w:r>
    </w:p>
    <w:p>
      <w:pPr>
        <w:spacing w:before="0" w:after="0" w:line="408" w:lineRule="exact"/>
        <w:ind w:left="0" w:right="0" w:firstLine="576"/>
        <w:jc w:val="left"/>
      </w:pPr>
      <w:r>
        <w:rPr/>
        <w:t xml:space="preserve">(ii) The names of any businesses known to the local government that have located within the benefit zone as a result of the public improvements undertaken by the local government and financed in whole or in part with hospital benefit zone financing.</w:t>
      </w:r>
    </w:p>
    <w:p>
      <w:pPr>
        <w:spacing w:before="0" w:after="0" w:line="408" w:lineRule="exact"/>
        <w:ind w:left="0" w:right="0" w:firstLine="576"/>
        <w:jc w:val="left"/>
      </w:pPr>
      <w:r>
        <w:t>((</w:t>
      </w:r>
      <w:r>
        <w:rPr>
          <w:strike/>
        </w:rPr>
        <w:t xml:space="preserve">(5) The department must make a report available to the public and the legislature by June 1st of each year. The report must include a list of public improvements undertaken by local governments and financed in whole or in part with hospital benefit zone financing, and it must also include a summary of the information provided to the department by local governments under subsection (4)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2016 c 207 s 5 are each amended to read as follows:</w:t>
      </w:r>
    </w:p>
    <w:p>
      <w:pPr>
        <w:spacing w:before="0" w:after="0" w:line="408" w:lineRule="exact"/>
        <w:ind w:left="0" w:right="0" w:firstLine="576"/>
        <w:jc w:val="left"/>
      </w:pPr>
      <w:r>
        <w:t>((</w:t>
      </w:r>
      <w:r>
        <w:rPr>
          <w:strike/>
        </w:rPr>
        <w:t xml:space="preserve">(1)</w:t>
      </w:r>
      <w:r>
        <w:t>))</w:t>
      </w:r>
      <w:r>
        <w:rPr/>
        <w:t xml:space="preserve">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amount of state property tax allocation revenues estimated to have been received by the state in the preceding calendar year;</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The amounts, other than those listed in </w:t>
      </w:r>
      <w:r>
        <w:t>((</w:t>
      </w:r>
      <w:r>
        <w:rPr>
          <w:strike/>
        </w:rPr>
        <w:t xml:space="preserve">(a) through (d) of this</w:t>
      </w:r>
      <w:r>
        <w:t>))</w:t>
      </w:r>
      <w:r>
        <w:rPr/>
        <w:t xml:space="preserve"> subsection</w:t>
      </w:r>
      <w:r>
        <w:rPr>
          <w:u w:val="single"/>
        </w:rPr>
        <w:t xml:space="preserve">s (1) through (4) of this section</w:t>
      </w:r>
      <w:r>
        <w:rPr/>
        <w:t xml:space="preserve">,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The anticipated date when bonds under RCW 39.104.110 are expected to be retired;</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A list of public improvements financed by bonds issued under RCW 39.104.110 and the date on which the bonds are anticipated to be retired;</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That the sponsoring local government is in compliance with RCW 39.104.030;</w:t>
      </w:r>
    </w:p>
    <w:p>
      <w:pPr>
        <w:spacing w:before="0" w:after="0" w:line="408" w:lineRule="exact"/>
        <w:ind w:left="0" w:right="0" w:firstLine="576"/>
        <w:jc w:val="left"/>
      </w:pPr>
      <w:r>
        <w:t>((</w:t>
      </w:r>
      <w:r>
        <w:rPr>
          <w:strike/>
        </w:rPr>
        <w:t xml:space="preserve">(l)</w:t>
      </w:r>
      <w:r>
        <w:t>))</w:t>
      </w:r>
      <w:r>
        <w:rPr/>
        <w:t xml:space="preserve"> </w:t>
      </w:r>
      <w:r>
        <w:rPr>
          <w:u w:val="single"/>
        </w:rPr>
        <w:t xml:space="preserve">(12)</w:t>
      </w:r>
      <w:r>
        <w:rPr/>
        <w:t xml:space="preserve"> At least once every three years, updated estimates of the amounts of state and local sales and use tax increments estimated to have been received since the approval of the project award under RCW 39.104.100;</w:t>
      </w:r>
    </w:p>
    <w:p>
      <w:pPr>
        <w:spacing w:before="0" w:after="0" w:line="408" w:lineRule="exact"/>
        <w:ind w:left="0" w:right="0" w:firstLine="576"/>
        <w:jc w:val="left"/>
      </w:pPr>
      <w:r>
        <w:t>((</w:t>
      </w:r>
      <w:r>
        <w:rPr>
          <w:strike/>
        </w:rPr>
        <w:t xml:space="preserve">(m)</w:t>
      </w:r>
      <w:r>
        <w:t>))</w:t>
      </w:r>
      <w:r>
        <w:rPr/>
        <w:t xml:space="preserve"> </w:t>
      </w:r>
      <w:r>
        <w:rPr>
          <w:u w:val="single"/>
        </w:rPr>
        <w:t xml:space="preserve">(13)</w:t>
      </w:r>
      <w:r>
        <w:rPr/>
        <w:t xml:space="preserve">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t>((</w:t>
      </w:r>
      <w:r>
        <w:rPr>
          <w:strike/>
        </w:rPr>
        <w:t xml:space="preserve">(n)</w:t>
      </w:r>
      <w:r>
        <w:t>))</w:t>
      </w:r>
      <w:r>
        <w:rPr/>
        <w:t xml:space="preserve"> </w:t>
      </w:r>
      <w:r>
        <w:rPr>
          <w:u w:val="single"/>
        </w:rPr>
        <w:t xml:space="preserve">(14)</w:t>
      </w:r>
      <w:r>
        <w:rPr/>
        <w:t xml:space="preserve"> Any other information required by the department to enable the department to fulfill its duties under this chapter and RCW 82.14.510.</w:t>
      </w:r>
    </w:p>
    <w:p>
      <w:pPr>
        <w:spacing w:before="0" w:after="0" w:line="408" w:lineRule="exact"/>
        <w:ind w:left="0" w:right="0" w:firstLine="576"/>
        <w:jc w:val="left"/>
      </w:pPr>
      <w:r>
        <w:t>((</w:t>
      </w:r>
      <w:r>
        <w:rPr>
          <w:strike/>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32A</w:t>
      </w:r>
      <w:r>
        <w:rPr/>
        <w:t xml:space="preserve">.</w:t>
      </w:r>
      <w:r>
        <w:t xml:space="preserve">045</w:t>
      </w:r>
      <w:r>
        <w:rPr/>
        <w:t xml:space="preserve"> (Family reconciliation services</w:t>
      </w:r>
      <w:r>
        <w:rPr>
          <w:rFonts w:ascii="Times New Roman" w:hAnsi="Times New Roman"/>
        </w:rPr>
        <w:t xml:space="preserve">—</w:t>
      </w:r>
      <w:r>
        <w:rPr/>
        <w:t xml:space="preserve">Data) and 2020 c 51 s 4;</w:t>
      </w:r>
    </w:p>
    <w:p>
      <w:pPr>
        <w:spacing w:before="0" w:after="0" w:line="408" w:lineRule="exact"/>
        <w:ind w:left="0" w:right="0" w:firstLine="576"/>
        <w:jc w:val="left"/>
      </w:pPr>
      <w:r>
        <w:t xml:space="preserve">(2) </w:t>
      </w:r>
      <w:r>
        <w:rPr/>
        <w:t xml:space="preserve">RCW </w:t>
      </w:r>
      <w:r>
        <w:t xml:space="preserve">19</w:t>
      </w:r>
      <w:r>
        <w:rPr/>
        <w:t xml:space="preserve">.</w:t>
      </w:r>
      <w:r>
        <w:t xml:space="preserve">02</w:t>
      </w:r>
      <w:r>
        <w:rPr/>
        <w:t xml:space="preserve">.</w:t>
      </w:r>
      <w:r>
        <w:t xml:space="preserve">055</w:t>
      </w:r>
      <w:r>
        <w:rPr/>
        <w:t xml:space="preserve"> (Agency duties</w:t>
      </w:r>
      <w:r>
        <w:rPr>
          <w:rFonts w:ascii="Times New Roman" w:hAnsi="Times New Roman"/>
        </w:rPr>
        <w:t xml:space="preserve">—</w:t>
      </w:r>
      <w:r>
        <w:rPr/>
        <w:t xml:space="preserve">Information</w:t>
      </w:r>
      <w:r>
        <w:rPr>
          <w:rFonts w:ascii="Times New Roman" w:hAnsi="Times New Roman"/>
        </w:rPr>
        <w:t xml:space="preserve">—</w:t>
      </w:r>
      <w:r>
        <w:rPr/>
        <w:t xml:space="preserve">Certification) and 2013 c 111 s 2;</w:t>
      </w:r>
    </w:p>
    <w:p>
      <w:pPr>
        <w:spacing w:before="0" w:after="0" w:line="408" w:lineRule="exact"/>
        <w:ind w:left="0" w:right="0" w:firstLine="576"/>
        <w:jc w:val="left"/>
      </w:pPr>
      <w:r>
        <w:t xml:space="preserve">(3) </w:t>
      </w:r>
      <w:r>
        <w:rPr/>
        <w:t xml:space="preserve">RCW </w:t>
      </w:r>
      <w:r>
        <w:t xml:space="preserve">19</w:t>
      </w:r>
      <w:r>
        <w:rPr/>
        <w:t xml:space="preserve">.</w:t>
      </w:r>
      <w:r>
        <w:t xml:space="preserve">280</w:t>
      </w:r>
      <w:r>
        <w:rPr/>
        <w:t xml:space="preserve">.</w:t>
      </w:r>
      <w:r>
        <w:t xml:space="preserve">060</w:t>
      </w:r>
      <w:r>
        <w:rPr/>
        <w:t xml:space="preserve"> (Department's duties</w:t>
      </w:r>
      <w:r>
        <w:rPr>
          <w:rFonts w:ascii="Times New Roman" w:hAnsi="Times New Roman"/>
        </w:rPr>
        <w:t xml:space="preserve">—</w:t>
      </w:r>
      <w:r>
        <w:rPr/>
        <w:t xml:space="preserve">Report to the legislature) and 2015 3rd sp.s. c 19 s 10, 2013 c 149 s 4, &amp; 2006 c 195 s 6;</w:t>
      </w:r>
    </w:p>
    <w:p>
      <w:pPr>
        <w:spacing w:before="0" w:after="0" w:line="408" w:lineRule="exact"/>
        <w:ind w:left="0" w:right="0" w:firstLine="576"/>
        <w:jc w:val="left"/>
      </w:pPr>
      <w:r>
        <w:t xml:space="preserve">(4) </w:t>
      </w:r>
      <w:r>
        <w:rPr/>
        <w:t xml:space="preserve">RCW </w:t>
      </w:r>
      <w:r>
        <w:t xml:space="preserve">43</w:t>
      </w:r>
      <w:r>
        <w:rPr/>
        <w:t xml:space="preserve">.</w:t>
      </w:r>
      <w:r>
        <w:t xml:space="preserve">31</w:t>
      </w:r>
      <w:r>
        <w:rPr/>
        <w:t xml:space="preserve">.</w:t>
      </w:r>
      <w:r>
        <w:t xml:space="preserve">980</w:t>
      </w:r>
      <w:r>
        <w:rPr/>
        <w:t xml:space="preserve"> (Impact fee annual report) and 2015 c 241 s 4; and</w:t>
      </w:r>
    </w:p>
    <w:p>
      <w:pPr>
        <w:spacing w:before="0" w:after="0" w:line="408" w:lineRule="exact"/>
        <w:ind w:left="0" w:right="0" w:firstLine="576"/>
        <w:jc w:val="left"/>
      </w:pPr>
      <w:r>
        <w:t xml:space="preserve">(5) </w:t>
      </w:r>
      <w:r>
        <w:rPr/>
        <w:t xml:space="preserve">RCW </w:t>
      </w:r>
      <w:r>
        <w:t xml:space="preserve">62A</w:t>
      </w:r>
      <w:r>
        <w:rPr/>
        <w:t xml:space="preserve">.</w:t>
      </w:r>
      <w:r>
        <w:t xml:space="preserve">9A</w:t>
      </w:r>
      <w:r>
        <w:rPr/>
        <w:t xml:space="preserve">-</w:t>
      </w:r>
      <w:r>
        <w:t xml:space="preserve">527</w:t>
      </w:r>
      <w:r>
        <w:rPr/>
        <w:t xml:space="preserve"> (Duty to report) and 2000 c 250 s 9A-527."</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Eliminates or adjusts due dates for certain reports from the Office of the Superintendent of Public Instruction. Eliminates a joint report to the Legislature from the State Board of Education and the Professional Educator Standards Board. Removes a provision that repealed the Department of Veterans Affairs' report about the Veteran Peer-to-Peer Training and Support Program. Updates certain amendatory sections to reflect changes made in legislation enacted in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cca7c18434115" /></Relationships>
</file>